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A759" w14:textId="3B64928E" w:rsidR="00B01BB3" w:rsidRDefault="00D841AA" w:rsidP="00A353DF">
      <w:pPr>
        <w:pStyle w:val="En-tte"/>
        <w:rPr>
          <w:rFonts w:ascii="Century Gothic" w:eastAsiaTheme="minorHAnsi" w:hAnsi="Century Gothic" w:cstheme="minorBidi"/>
          <w:b/>
          <w:sz w:val="22"/>
        </w:rPr>
      </w:pPr>
      <w:r>
        <w:rPr>
          <w:rFonts w:ascii="Century Gothic" w:eastAsiaTheme="minorHAnsi" w:hAnsi="Century Gothic" w:cstheme="minorBidi"/>
          <w:b/>
          <w:noProof/>
          <w:sz w:val="22"/>
        </w:rPr>
        <mc:AlternateContent>
          <mc:Choice Requires="wps">
            <w:drawing>
              <wp:anchor distT="0" distB="0" distL="114300" distR="114300" simplePos="0" relativeHeight="251659264" behindDoc="0" locked="0" layoutInCell="1" allowOverlap="1" wp14:anchorId="1C572AE7" wp14:editId="483138BD">
                <wp:simplePos x="0" y="0"/>
                <wp:positionH relativeFrom="column">
                  <wp:posOffset>-494278</wp:posOffset>
                </wp:positionH>
                <wp:positionV relativeFrom="paragraph">
                  <wp:posOffset>113969</wp:posOffset>
                </wp:positionV>
                <wp:extent cx="1354979" cy="246490"/>
                <wp:effectExtent l="0" t="0" r="0" b="1270"/>
                <wp:wrapNone/>
                <wp:docPr id="1" name="Zone de texte 1"/>
                <wp:cNvGraphicFramePr/>
                <a:graphic xmlns:a="http://schemas.openxmlformats.org/drawingml/2006/main">
                  <a:graphicData uri="http://schemas.microsoft.com/office/word/2010/wordprocessingShape">
                    <wps:wsp>
                      <wps:cNvSpPr txBox="1"/>
                      <wps:spPr>
                        <a:xfrm>
                          <a:off x="0" y="0"/>
                          <a:ext cx="1354979" cy="246490"/>
                        </a:xfrm>
                        <a:prstGeom prst="rect">
                          <a:avLst/>
                        </a:prstGeom>
                        <a:solidFill>
                          <a:schemeClr val="lt1"/>
                        </a:solidFill>
                        <a:ln w="6350">
                          <a:noFill/>
                        </a:ln>
                      </wps:spPr>
                      <wps:txbx>
                        <w:txbxContent>
                          <w:p w14:paraId="03B1BA2F" w14:textId="5DDCFB17" w:rsidR="00D841AA" w:rsidRDefault="00D841AA">
                            <w:proofErr w:type="gramStart"/>
                            <w:r>
                              <w:t>annexe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572AE7" id="_x0000_t202" coordsize="21600,21600" o:spt="202" path="m,l,21600r21600,l21600,xe">
                <v:stroke joinstyle="miter"/>
                <v:path gradientshapeok="t" o:connecttype="rect"/>
              </v:shapetype>
              <v:shape id="Zone de texte 1" o:spid="_x0000_s1026" type="#_x0000_t202" style="position:absolute;left:0;text-align:left;margin-left:-38.9pt;margin-top:8.95pt;width:106.7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" fillcolor="white [3201]" stroked="f" strokeweight=".5pt">
                <v:textbox>
                  <w:txbxContent>
                    <w:p w14:paraId="03B1BA2F" w14:textId="5DDCFB17" w:rsidR="00D841AA" w:rsidRDefault="00D841AA">
                      <w:proofErr w:type="gramStart"/>
                      <w:r>
                        <w:t>annexe</w:t>
                      </w:r>
                      <w:proofErr w:type="gramEnd"/>
                    </w:p>
                  </w:txbxContent>
                </v:textbox>
              </v:shape>
            </w:pict>
          </mc:Fallback>
        </mc:AlternateContent>
      </w:r>
    </w:p>
    <w:p w14:paraId="55C6634F" w14:textId="734150BE" w:rsidR="00EC1C31" w:rsidRDefault="00EC1C31">
      <w:pPr>
        <w:pStyle w:val="En-tte"/>
        <w:jc w:val="center"/>
        <w:rPr>
          <w:rFonts w:ascii="Century Gothic" w:eastAsiaTheme="minorHAnsi" w:hAnsi="Century Gothic" w:cstheme="minorBidi"/>
          <w:b/>
          <w:sz w:val="22"/>
        </w:rPr>
      </w:pPr>
      <w:r>
        <w:rPr>
          <w:rFonts w:ascii="Century Gothic" w:eastAsiaTheme="minorHAnsi" w:hAnsi="Century Gothic" w:cstheme="minorBidi"/>
          <w:b/>
          <w:sz w:val="22"/>
        </w:rPr>
        <w:t>APPEL A PROJET</w:t>
      </w:r>
      <w:r w:rsidR="00D841AA">
        <w:rPr>
          <w:rFonts w:ascii="Century Gothic" w:eastAsiaTheme="minorHAnsi" w:hAnsi="Century Gothic" w:cstheme="minorBidi"/>
          <w:b/>
          <w:sz w:val="22"/>
        </w:rPr>
        <w:t>S</w:t>
      </w:r>
      <w:r>
        <w:rPr>
          <w:rFonts w:ascii="Century Gothic" w:eastAsiaTheme="minorHAnsi" w:hAnsi="Century Gothic" w:cstheme="minorBidi"/>
          <w:b/>
          <w:sz w:val="22"/>
        </w:rPr>
        <w:t xml:space="preserve"> 2026</w:t>
      </w:r>
    </w:p>
    <w:p w14:paraId="23DFD98D" w14:textId="3C4E2639" w:rsidR="00662165" w:rsidRPr="00E26EEF" w:rsidRDefault="00EC1C31">
      <w:pPr>
        <w:pStyle w:val="En-tte"/>
        <w:jc w:val="center"/>
        <w:rPr>
          <w:rFonts w:ascii="Century Gothic" w:eastAsiaTheme="minorHAnsi" w:hAnsi="Century Gothic" w:cstheme="minorBidi"/>
          <w:b/>
          <w:sz w:val="22"/>
        </w:rPr>
      </w:pPr>
      <w:r>
        <w:rPr>
          <w:rFonts w:ascii="Century Gothic" w:eastAsiaTheme="minorHAnsi" w:hAnsi="Century Gothic" w:cstheme="minorBidi"/>
          <w:b/>
          <w:sz w:val="22"/>
        </w:rPr>
        <w:t>Règlement d’</w:t>
      </w:r>
      <w:r w:rsidR="009864D9" w:rsidRPr="00E26EEF">
        <w:rPr>
          <w:rFonts w:ascii="Century Gothic" w:eastAsiaTheme="minorHAnsi" w:hAnsi="Century Gothic" w:cstheme="minorBidi"/>
          <w:b/>
          <w:sz w:val="22"/>
        </w:rPr>
        <w:t>Aide à la transformation et à la commercialisation de produits agricoles à la ferme</w:t>
      </w:r>
    </w:p>
    <w:p w14:paraId="661FE9ED" w14:textId="4C7643D3" w:rsidR="007B5B39" w:rsidRPr="00E26EEF" w:rsidRDefault="009864D9" w:rsidP="007B5B39">
      <w:pPr>
        <w:pStyle w:val="En-tte"/>
        <w:rPr>
          <w:rFonts w:ascii="Century Gothic" w:hAnsi="Century Gothic"/>
          <w:b/>
          <w:bCs/>
          <w:sz w:val="22"/>
          <w:u w:val="single"/>
        </w:rPr>
      </w:pPr>
      <w:r w:rsidRPr="00E26EEF">
        <w:rPr>
          <w:rFonts w:ascii="Century Gothic" w:eastAsiaTheme="minorHAnsi" w:hAnsi="Century Gothic" w:cstheme="minorBidi"/>
          <w:b/>
          <w:sz w:val="22"/>
        </w:rPr>
        <w:t xml:space="preserve">1/ </w:t>
      </w:r>
      <w:r w:rsidR="0062204C">
        <w:rPr>
          <w:rFonts w:ascii="Century Gothic" w:eastAsiaTheme="minorHAnsi" w:hAnsi="Century Gothic" w:cstheme="minorBidi"/>
          <w:b/>
          <w:sz w:val="22"/>
        </w:rPr>
        <w:t>Contexte et o</w:t>
      </w:r>
      <w:r w:rsidR="007B5B39" w:rsidRPr="00E26EEF">
        <w:rPr>
          <w:rFonts w:ascii="Century Gothic" w:eastAsiaTheme="minorHAnsi" w:hAnsi="Century Gothic" w:cstheme="minorBidi"/>
          <w:b/>
          <w:sz w:val="22"/>
        </w:rPr>
        <w:t>bjectifs</w:t>
      </w:r>
      <w:r w:rsidR="00773CE5" w:rsidRPr="00E26EEF">
        <w:rPr>
          <w:rFonts w:ascii="Century Gothic" w:hAnsi="Century Gothic"/>
          <w:b/>
          <w:sz w:val="22"/>
        </w:rPr>
        <w:tab/>
      </w:r>
    </w:p>
    <w:p w14:paraId="36FEC22D" w14:textId="47A915FE" w:rsidR="0062204C" w:rsidRDefault="0062204C" w:rsidP="00D3265B">
      <w:pPr>
        <w:spacing w:after="0" w:line="240" w:lineRule="auto"/>
        <w:jc w:val="both"/>
        <w:rPr>
          <w:rFonts w:ascii="Century Gothic" w:hAnsi="Century Gothic"/>
        </w:rPr>
      </w:pPr>
      <w:r>
        <w:rPr>
          <w:rFonts w:ascii="Century Gothic" w:hAnsi="Century Gothic"/>
        </w:rPr>
        <w:t>Le présent règlement définit les modalités d</w:t>
      </w:r>
      <w:r w:rsidR="007813A8">
        <w:rPr>
          <w:rFonts w:ascii="Century Gothic" w:hAnsi="Century Gothic"/>
        </w:rPr>
        <w:t>u</w:t>
      </w:r>
      <w:r>
        <w:rPr>
          <w:rFonts w:ascii="Century Gothic" w:hAnsi="Century Gothic"/>
        </w:rPr>
        <w:t xml:space="preserve"> soutien financier apporté par le Département de Maine-et-Loire en faveur des investissements relatifs à des projets de transformation et/ou de commercialisation de produits agricoles.</w:t>
      </w:r>
    </w:p>
    <w:p w14:paraId="5864CB3E" w14:textId="4E5D464D" w:rsidR="0062204C" w:rsidRDefault="0062204C" w:rsidP="00D3265B">
      <w:pPr>
        <w:spacing w:after="0" w:line="240" w:lineRule="auto"/>
        <w:jc w:val="both"/>
        <w:rPr>
          <w:rFonts w:ascii="Century Gothic" w:hAnsi="Century Gothic"/>
        </w:rPr>
      </w:pPr>
    </w:p>
    <w:p w14:paraId="6B5EDEC6" w14:textId="52972401" w:rsidR="002E5B82" w:rsidRDefault="002E5B82" w:rsidP="00D3265B">
      <w:pPr>
        <w:spacing w:after="0" w:line="240" w:lineRule="auto"/>
        <w:jc w:val="both"/>
        <w:rPr>
          <w:rFonts w:ascii="Century Gothic" w:hAnsi="Century Gothic"/>
        </w:rPr>
      </w:pPr>
      <w:r>
        <w:rPr>
          <w:rFonts w:ascii="Century Gothic" w:hAnsi="Century Gothic"/>
        </w:rPr>
        <w:t xml:space="preserve">Ce dispositif d’aide ne concerne que les projets dont le montant de dépenses éligibles n’excède pas 50 000 €. Au-delà, les projets relèvent du dispositif géré par la Région Pays-de-La-Loire. </w:t>
      </w:r>
    </w:p>
    <w:p w14:paraId="0F7C72EA" w14:textId="77777777" w:rsidR="0062204C" w:rsidRDefault="0062204C" w:rsidP="00D3265B">
      <w:pPr>
        <w:spacing w:after="0" w:line="240" w:lineRule="auto"/>
        <w:jc w:val="both"/>
        <w:rPr>
          <w:rFonts w:ascii="Century Gothic" w:hAnsi="Century Gothic"/>
        </w:rPr>
      </w:pPr>
    </w:p>
    <w:p w14:paraId="475D5839" w14:textId="1AEA9FD2" w:rsidR="007C64BF" w:rsidRDefault="00595B8B" w:rsidP="00D3265B">
      <w:pPr>
        <w:spacing w:after="0" w:line="240" w:lineRule="auto"/>
        <w:jc w:val="both"/>
        <w:rPr>
          <w:rFonts w:ascii="Century Gothic" w:hAnsi="Century Gothic"/>
        </w:rPr>
      </w:pPr>
      <w:r>
        <w:rPr>
          <w:rFonts w:ascii="Century Gothic" w:hAnsi="Century Gothic"/>
        </w:rPr>
        <w:t>Le présent</w:t>
      </w:r>
      <w:r w:rsidRPr="00E26EEF">
        <w:rPr>
          <w:rFonts w:ascii="Century Gothic" w:hAnsi="Century Gothic"/>
        </w:rPr>
        <w:t xml:space="preserve"> </w:t>
      </w:r>
      <w:r w:rsidR="007B5B39" w:rsidRPr="00E26EEF">
        <w:rPr>
          <w:rFonts w:ascii="Century Gothic" w:hAnsi="Century Gothic"/>
        </w:rPr>
        <w:t xml:space="preserve">dispositif a pour objectifs d’améliorer la viabilité et la résilience des </w:t>
      </w:r>
      <w:r w:rsidR="00B67C0D">
        <w:rPr>
          <w:rFonts w:ascii="Century Gothic" w:hAnsi="Century Gothic"/>
        </w:rPr>
        <w:t xml:space="preserve">petites </w:t>
      </w:r>
      <w:r w:rsidR="007B5B39" w:rsidRPr="00E26EEF">
        <w:rPr>
          <w:rFonts w:ascii="Century Gothic" w:hAnsi="Century Gothic"/>
        </w:rPr>
        <w:t xml:space="preserve">exploitations agricoles, d’accroitre leur valeur ajoutée et d’améliorer les conditions de travail. Il favorisera les circuits de proximité et contribuera ainsi à créer du lien avec les consommateurs. </w:t>
      </w:r>
    </w:p>
    <w:p w14:paraId="6651A06D" w14:textId="77777777" w:rsidR="007C64BF" w:rsidRDefault="007C64BF" w:rsidP="00D3265B">
      <w:pPr>
        <w:spacing w:after="0" w:line="240" w:lineRule="auto"/>
        <w:jc w:val="both"/>
        <w:rPr>
          <w:rFonts w:ascii="Century Gothic" w:hAnsi="Century Gothic"/>
        </w:rPr>
      </w:pPr>
    </w:p>
    <w:p w14:paraId="0BB34D61" w14:textId="70BEE484" w:rsidR="00D3265B" w:rsidRDefault="007B5B39" w:rsidP="00D3265B">
      <w:pPr>
        <w:spacing w:after="0" w:line="240" w:lineRule="auto"/>
        <w:jc w:val="both"/>
        <w:rPr>
          <w:rFonts w:ascii="Century Gothic" w:hAnsi="Century Gothic"/>
        </w:rPr>
      </w:pPr>
      <w:r w:rsidRPr="00E26EEF">
        <w:rPr>
          <w:rFonts w:ascii="Century Gothic" w:hAnsi="Century Gothic"/>
        </w:rPr>
        <w:t xml:space="preserve">Il vise également </w:t>
      </w:r>
      <w:r w:rsidR="00B67C0D">
        <w:rPr>
          <w:rFonts w:ascii="Century Gothic" w:hAnsi="Century Gothic"/>
        </w:rPr>
        <w:t xml:space="preserve">à promouvoir une </w:t>
      </w:r>
      <w:r w:rsidR="00B67C0D" w:rsidRPr="00CE2B17">
        <w:rPr>
          <w:rFonts w:ascii="Century Gothic" w:hAnsi="Century Gothic"/>
          <w:b/>
        </w:rPr>
        <w:t>agriculture durable</w:t>
      </w:r>
      <w:r w:rsidR="00B67C0D">
        <w:rPr>
          <w:rFonts w:ascii="Century Gothic" w:hAnsi="Century Gothic"/>
        </w:rPr>
        <w:t xml:space="preserve"> et </w:t>
      </w:r>
      <w:r w:rsidRPr="00E26EEF">
        <w:rPr>
          <w:rFonts w:ascii="Century Gothic" w:hAnsi="Century Gothic"/>
        </w:rPr>
        <w:t xml:space="preserve">à assurer le maintien de l’activité agricole et la diversité des productions sur l’ensemble du </w:t>
      </w:r>
      <w:r w:rsidR="00B67C0D">
        <w:rPr>
          <w:rFonts w:ascii="Century Gothic" w:hAnsi="Century Gothic"/>
        </w:rPr>
        <w:t>département de Maine-et-Loire</w:t>
      </w:r>
      <w:r w:rsidRPr="00E26EEF">
        <w:rPr>
          <w:rFonts w:ascii="Century Gothic" w:hAnsi="Century Gothic"/>
        </w:rPr>
        <w:t xml:space="preserve">. </w:t>
      </w:r>
    </w:p>
    <w:p w14:paraId="6F1A220E" w14:textId="77777777" w:rsidR="007C64BF" w:rsidRDefault="007C64BF" w:rsidP="00B123F6">
      <w:pPr>
        <w:pStyle w:val="En-tte"/>
      </w:pPr>
    </w:p>
    <w:p w14:paraId="48236FCE" w14:textId="136440B8" w:rsidR="007C64BF" w:rsidRDefault="007C64BF" w:rsidP="007C64BF">
      <w:pPr>
        <w:pStyle w:val="En-tte"/>
        <w:rPr>
          <w:rFonts w:ascii="Century Gothic" w:hAnsi="Century Gothic" w:cstheme="minorBidi"/>
          <w:sz w:val="22"/>
        </w:rPr>
      </w:pPr>
      <w:r>
        <w:rPr>
          <w:rFonts w:ascii="Century Gothic" w:hAnsi="Century Gothic" w:cstheme="minorBidi"/>
          <w:sz w:val="22"/>
        </w:rPr>
        <w:t xml:space="preserve">Ainsi, </w:t>
      </w:r>
      <w:r w:rsidRPr="00E26EEF">
        <w:rPr>
          <w:rFonts w:ascii="Century Gothic" w:hAnsi="Century Gothic" w:cstheme="minorBidi"/>
          <w:sz w:val="22"/>
        </w:rPr>
        <w:t>une attention particulière</w:t>
      </w:r>
      <w:r w:rsidR="00E62FE0">
        <w:rPr>
          <w:rFonts w:ascii="Century Gothic" w:hAnsi="Century Gothic" w:cstheme="minorBidi"/>
          <w:sz w:val="22"/>
        </w:rPr>
        <w:t>,</w:t>
      </w:r>
      <w:r w:rsidRPr="00E26EEF">
        <w:rPr>
          <w:rFonts w:ascii="Century Gothic" w:hAnsi="Century Gothic" w:cstheme="minorBidi"/>
          <w:sz w:val="22"/>
        </w:rPr>
        <w:t xml:space="preserve"> </w:t>
      </w:r>
      <w:r w:rsidR="00E62FE0">
        <w:rPr>
          <w:rFonts w:ascii="Century Gothic" w:hAnsi="Century Gothic" w:cstheme="minorBidi"/>
          <w:sz w:val="22"/>
        </w:rPr>
        <w:t xml:space="preserve">pouvant amener à une majoration de l’aide, </w:t>
      </w:r>
      <w:r w:rsidRPr="00E26EEF">
        <w:rPr>
          <w:rFonts w:ascii="Century Gothic" w:hAnsi="Century Gothic" w:cstheme="minorBidi"/>
          <w:sz w:val="22"/>
        </w:rPr>
        <w:t>sera apportée</w:t>
      </w:r>
      <w:r>
        <w:rPr>
          <w:rFonts w:ascii="Century Gothic" w:hAnsi="Century Gothic" w:cstheme="minorBidi"/>
          <w:sz w:val="22"/>
        </w:rPr>
        <w:t xml:space="preserve"> aux projets permettant :</w:t>
      </w:r>
    </w:p>
    <w:p w14:paraId="71B5B071" w14:textId="78060A08" w:rsidR="00B123F6" w:rsidRDefault="007C64BF" w:rsidP="00B123F6">
      <w:pPr>
        <w:pStyle w:val="Paragraphedeliste"/>
        <w:numPr>
          <w:ilvl w:val="0"/>
          <w:numId w:val="18"/>
        </w:numPr>
        <w:tabs>
          <w:tab w:val="left" w:pos="1701"/>
          <w:tab w:val="left" w:pos="1985"/>
        </w:tabs>
        <w:spacing w:after="0"/>
        <w:jc w:val="both"/>
        <w:rPr>
          <w:rFonts w:ascii="Century Gothic" w:hAnsi="Century Gothic"/>
        </w:rPr>
      </w:pPr>
      <w:r w:rsidRPr="00E26EEF">
        <w:rPr>
          <w:rFonts w:ascii="Century Gothic" w:hAnsi="Century Gothic"/>
        </w:rPr>
        <w:t>La contribution au</w:t>
      </w:r>
      <w:r w:rsidR="00E62FE0">
        <w:rPr>
          <w:rFonts w:ascii="Century Gothic" w:hAnsi="Century Gothic"/>
        </w:rPr>
        <w:t xml:space="preserve"> renouvellement des générations ;</w:t>
      </w:r>
    </w:p>
    <w:p w14:paraId="1517FDC8" w14:textId="55112D80" w:rsidR="007C64BF" w:rsidRPr="00B123F6" w:rsidRDefault="007C64BF" w:rsidP="00B123F6">
      <w:pPr>
        <w:pStyle w:val="Paragraphedeliste"/>
        <w:numPr>
          <w:ilvl w:val="0"/>
          <w:numId w:val="18"/>
        </w:numPr>
        <w:tabs>
          <w:tab w:val="left" w:pos="1701"/>
          <w:tab w:val="left" w:pos="1985"/>
        </w:tabs>
        <w:spacing w:after="0"/>
        <w:jc w:val="both"/>
        <w:rPr>
          <w:rFonts w:ascii="Century Gothic" w:hAnsi="Century Gothic"/>
        </w:rPr>
      </w:pPr>
      <w:r w:rsidRPr="00B123F6">
        <w:rPr>
          <w:rFonts w:ascii="Century Gothic" w:hAnsi="Century Gothic"/>
        </w:rPr>
        <w:t xml:space="preserve">La contribution à </w:t>
      </w:r>
      <w:r w:rsidR="001306ED">
        <w:rPr>
          <w:rFonts w:ascii="Century Gothic" w:hAnsi="Century Gothic"/>
        </w:rPr>
        <w:t>la protection de</w:t>
      </w:r>
      <w:r w:rsidR="00B123F6" w:rsidRPr="00B123F6">
        <w:rPr>
          <w:rFonts w:ascii="Century Gothic" w:hAnsi="Century Gothic"/>
        </w:rPr>
        <w:t xml:space="preserve"> l'environnement</w:t>
      </w:r>
      <w:r w:rsidR="00E62FE0">
        <w:rPr>
          <w:rFonts w:ascii="Century Gothic" w:hAnsi="Century Gothic"/>
        </w:rPr>
        <w:t> ;</w:t>
      </w:r>
    </w:p>
    <w:p w14:paraId="546F9CEC" w14:textId="0C4A2550" w:rsidR="007C64BF" w:rsidRPr="00E26EEF" w:rsidRDefault="007C64BF" w:rsidP="007C64BF">
      <w:pPr>
        <w:pStyle w:val="Paragraphedeliste"/>
        <w:numPr>
          <w:ilvl w:val="0"/>
          <w:numId w:val="18"/>
        </w:numPr>
        <w:tabs>
          <w:tab w:val="left" w:pos="1701"/>
          <w:tab w:val="left" w:pos="1985"/>
        </w:tabs>
        <w:jc w:val="both"/>
        <w:rPr>
          <w:rFonts w:ascii="Century Gothic" w:hAnsi="Century Gothic"/>
        </w:rPr>
      </w:pPr>
      <w:r w:rsidRPr="00E26EEF">
        <w:rPr>
          <w:rFonts w:ascii="Century Gothic" w:hAnsi="Century Gothic"/>
        </w:rPr>
        <w:t>La contribution aux circuits courts</w:t>
      </w:r>
      <w:r w:rsidR="00E62FE0">
        <w:rPr>
          <w:rFonts w:ascii="Century Gothic" w:hAnsi="Century Gothic"/>
        </w:rPr>
        <w:t> ;</w:t>
      </w:r>
    </w:p>
    <w:p w14:paraId="58E3FD93" w14:textId="53B07461" w:rsidR="007C64BF" w:rsidRDefault="007C64BF" w:rsidP="007C64BF">
      <w:pPr>
        <w:pStyle w:val="Paragraphedeliste"/>
        <w:numPr>
          <w:ilvl w:val="0"/>
          <w:numId w:val="18"/>
        </w:numPr>
        <w:tabs>
          <w:tab w:val="left" w:pos="1701"/>
          <w:tab w:val="left" w:pos="1985"/>
        </w:tabs>
        <w:jc w:val="both"/>
        <w:rPr>
          <w:rFonts w:ascii="Century Gothic" w:hAnsi="Century Gothic"/>
        </w:rPr>
      </w:pPr>
      <w:r>
        <w:rPr>
          <w:rFonts w:ascii="Century Gothic" w:hAnsi="Century Gothic"/>
        </w:rPr>
        <w:t>La contribution aux économies d’eau</w:t>
      </w:r>
      <w:r w:rsidR="00E62FE0">
        <w:rPr>
          <w:rFonts w:ascii="Century Gothic" w:hAnsi="Century Gothic"/>
        </w:rPr>
        <w:t> ;</w:t>
      </w:r>
    </w:p>
    <w:p w14:paraId="3D83C333" w14:textId="7ADAD9DE" w:rsidR="007C64BF" w:rsidRDefault="00E62FE0" w:rsidP="007C64BF">
      <w:pPr>
        <w:pStyle w:val="Paragraphedeliste"/>
        <w:numPr>
          <w:ilvl w:val="0"/>
          <w:numId w:val="18"/>
        </w:numPr>
        <w:tabs>
          <w:tab w:val="left" w:pos="1701"/>
          <w:tab w:val="left" w:pos="1985"/>
        </w:tabs>
        <w:jc w:val="both"/>
        <w:rPr>
          <w:rFonts w:ascii="Century Gothic" w:hAnsi="Century Gothic"/>
        </w:rPr>
      </w:pPr>
      <w:r>
        <w:rPr>
          <w:rFonts w:ascii="Century Gothic" w:hAnsi="Century Gothic"/>
        </w:rPr>
        <w:t>La m</w:t>
      </w:r>
      <w:r w:rsidR="007C64BF">
        <w:rPr>
          <w:rFonts w:ascii="Century Gothic" w:hAnsi="Century Gothic"/>
        </w:rPr>
        <w:t xml:space="preserve">ise en place d’une </w:t>
      </w:r>
      <w:r w:rsidR="007C64BF" w:rsidRPr="00E26EEF">
        <w:rPr>
          <w:rFonts w:ascii="Century Gothic" w:hAnsi="Century Gothic"/>
        </w:rPr>
        <w:t>agric</w:t>
      </w:r>
      <w:r w:rsidR="007C64BF">
        <w:rPr>
          <w:rFonts w:ascii="Century Gothic" w:hAnsi="Century Gothic"/>
        </w:rPr>
        <w:t>ulture de conservation des sols</w:t>
      </w:r>
      <w:r>
        <w:rPr>
          <w:rFonts w:ascii="Century Gothic" w:hAnsi="Century Gothic"/>
        </w:rPr>
        <w:t> ;</w:t>
      </w:r>
    </w:p>
    <w:p w14:paraId="0B4187A9" w14:textId="6E4328A7" w:rsidR="007C64BF" w:rsidRDefault="00E62FE0" w:rsidP="009647F9">
      <w:pPr>
        <w:pStyle w:val="Paragraphedeliste"/>
        <w:numPr>
          <w:ilvl w:val="0"/>
          <w:numId w:val="18"/>
        </w:numPr>
        <w:tabs>
          <w:tab w:val="left" w:pos="1701"/>
          <w:tab w:val="left" w:pos="1985"/>
        </w:tabs>
        <w:jc w:val="both"/>
        <w:rPr>
          <w:rFonts w:ascii="Century Gothic" w:hAnsi="Century Gothic"/>
        </w:rPr>
      </w:pPr>
      <w:r>
        <w:rPr>
          <w:rFonts w:ascii="Century Gothic" w:hAnsi="Century Gothic"/>
        </w:rPr>
        <w:t xml:space="preserve">La contribution au maintien du complexe </w:t>
      </w:r>
      <w:r w:rsidR="007C64BF">
        <w:rPr>
          <w:rFonts w:ascii="Century Gothic" w:hAnsi="Century Gothic"/>
        </w:rPr>
        <w:t>bocage</w:t>
      </w:r>
      <w:r>
        <w:rPr>
          <w:rFonts w:ascii="Century Gothic" w:hAnsi="Century Gothic"/>
        </w:rPr>
        <w:t>r.</w:t>
      </w:r>
    </w:p>
    <w:p w14:paraId="755D50BE" w14:textId="6EA2AC03" w:rsidR="009004E9" w:rsidRPr="00E26EEF" w:rsidRDefault="009004E9" w:rsidP="009004E9">
      <w:pPr>
        <w:pStyle w:val="En-tte"/>
        <w:rPr>
          <w:rFonts w:ascii="Century Gothic" w:eastAsiaTheme="minorHAnsi" w:hAnsi="Century Gothic" w:cstheme="minorBidi"/>
          <w:b/>
          <w:sz w:val="22"/>
        </w:rPr>
      </w:pPr>
      <w:r w:rsidRPr="00E26EEF">
        <w:rPr>
          <w:rFonts w:ascii="Century Gothic" w:eastAsiaTheme="minorHAnsi" w:hAnsi="Century Gothic" w:cstheme="minorBidi"/>
          <w:b/>
          <w:sz w:val="22"/>
        </w:rPr>
        <w:t xml:space="preserve">2/ </w:t>
      </w:r>
      <w:r>
        <w:rPr>
          <w:rFonts w:ascii="Century Gothic" w:eastAsiaTheme="minorHAnsi" w:hAnsi="Century Gothic" w:cstheme="minorBidi"/>
          <w:b/>
          <w:sz w:val="22"/>
        </w:rPr>
        <w:t>Cadre juridique</w:t>
      </w:r>
    </w:p>
    <w:p w14:paraId="440C8EA0" w14:textId="77777777" w:rsidR="009004E9" w:rsidRPr="00C764AD" w:rsidRDefault="009004E9" w:rsidP="009004E9">
      <w:pPr>
        <w:pStyle w:val="Default"/>
        <w:numPr>
          <w:ilvl w:val="0"/>
          <w:numId w:val="16"/>
        </w:numPr>
        <w:rPr>
          <w:rFonts w:ascii="Century Gothic" w:hAnsi="Century Gothic" w:cstheme="minorBidi"/>
          <w:color w:val="auto"/>
          <w:sz w:val="22"/>
          <w:szCs w:val="22"/>
          <w:u w:val="single"/>
        </w:rPr>
      </w:pPr>
      <w:r w:rsidRPr="00C764AD">
        <w:rPr>
          <w:rFonts w:ascii="Century Gothic" w:hAnsi="Century Gothic" w:cstheme="minorBidi"/>
          <w:color w:val="auto"/>
          <w:sz w:val="22"/>
          <w:szCs w:val="22"/>
          <w:u w:val="single"/>
        </w:rPr>
        <w:t>Cadre juridique européen et national :</w:t>
      </w:r>
    </w:p>
    <w:p w14:paraId="11498319" w14:textId="77777777" w:rsidR="00595B8B" w:rsidRPr="00B01BB3" w:rsidRDefault="00595B8B" w:rsidP="00595B8B">
      <w:pPr>
        <w:pStyle w:val="Default"/>
        <w:numPr>
          <w:ilvl w:val="0"/>
          <w:numId w:val="16"/>
        </w:numPr>
        <w:rPr>
          <w:rFonts w:ascii="Century Gothic" w:hAnsi="Century Gothic" w:cstheme="minorBidi"/>
          <w:color w:val="auto"/>
          <w:sz w:val="22"/>
          <w:szCs w:val="22"/>
        </w:rPr>
      </w:pPr>
      <w:r w:rsidRPr="00B01BB3">
        <w:rPr>
          <w:rFonts w:ascii="Century Gothic" w:hAnsi="Century Gothic" w:cstheme="minorBidi"/>
          <w:color w:val="auto"/>
          <w:sz w:val="22"/>
          <w:szCs w:val="22"/>
        </w:rPr>
        <w:t xml:space="preserve">- Règlement (UE) 2023/2831 de la Commission Européenne du 13 décembre 2023 relatif à l’application des articles 107 et 108 du traité sur le fonctionnement de l’Union Européenne aux aides de minimis. </w:t>
      </w:r>
    </w:p>
    <w:p w14:paraId="30C867DE" w14:textId="228A3D15" w:rsidR="009004E9" w:rsidRPr="00E26EEF" w:rsidRDefault="009004E9" w:rsidP="009004E9">
      <w:pPr>
        <w:pStyle w:val="Default"/>
        <w:numPr>
          <w:ilvl w:val="0"/>
          <w:numId w:val="16"/>
        </w:numPr>
        <w:rPr>
          <w:rFonts w:ascii="Century Gothic" w:hAnsi="Century Gothic" w:cstheme="minorBidi"/>
          <w:color w:val="auto"/>
          <w:sz w:val="22"/>
          <w:szCs w:val="22"/>
        </w:rPr>
      </w:pPr>
      <w:r>
        <w:rPr>
          <w:rFonts w:ascii="Century Gothic" w:hAnsi="Century Gothic" w:cstheme="minorBidi"/>
          <w:color w:val="auto"/>
          <w:sz w:val="22"/>
          <w:szCs w:val="22"/>
        </w:rPr>
        <w:t xml:space="preserve">- </w:t>
      </w:r>
      <w:r w:rsidRPr="00C764AD">
        <w:rPr>
          <w:rFonts w:ascii="Century Gothic" w:hAnsi="Century Gothic" w:cstheme="minorBidi"/>
          <w:color w:val="auto"/>
          <w:sz w:val="22"/>
          <w:szCs w:val="22"/>
        </w:rPr>
        <w:t xml:space="preserve">Dispositif d’aide pris en application du régime d’aides exempté n° SA.108468, relatif aux </w:t>
      </w:r>
      <w:r>
        <w:rPr>
          <w:rFonts w:ascii="Century Gothic" w:hAnsi="Century Gothic" w:cstheme="minorBidi"/>
          <w:color w:val="auto"/>
          <w:sz w:val="22"/>
          <w:szCs w:val="22"/>
        </w:rPr>
        <w:t>-</w:t>
      </w:r>
      <w:r w:rsidRPr="00C764AD">
        <w:rPr>
          <w:rFonts w:ascii="Century Gothic" w:hAnsi="Century Gothic" w:cstheme="minorBidi"/>
          <w:color w:val="auto"/>
          <w:sz w:val="22"/>
          <w:szCs w:val="22"/>
        </w:rPr>
        <w:t>aides aux investissements en faveur des PME actives dans la transformation et/ou la commercialisation de produits agricoles pour la période 2023-2029, adopté sur la base du règlement (UE) 2022/2472 de la Commission européenne du 14 décembre 2022 déclarant certaines catégories d'aides dans les secteurs agricole et forestier et dans les zones rurales compatibles avec le marché intérieur en application des articles 107 et 108 du traité sur le fonctionnement de l'Union européenne, publié au Journal Officiel de l’Union européenne (JOUE) du 21 décembre 2022</w:t>
      </w:r>
      <w:r w:rsidR="00B01BB3">
        <w:rPr>
          <w:rFonts w:ascii="Century Gothic" w:hAnsi="Century Gothic" w:cstheme="minorBidi"/>
          <w:color w:val="auto"/>
          <w:sz w:val="22"/>
          <w:szCs w:val="22"/>
        </w:rPr>
        <w:t> ;</w:t>
      </w:r>
    </w:p>
    <w:p w14:paraId="33A5542E" w14:textId="38BC6E65" w:rsidR="00B01BB3" w:rsidRDefault="009004E9" w:rsidP="00A353DF">
      <w:pPr>
        <w:pStyle w:val="Default"/>
        <w:rPr>
          <w:rFonts w:ascii="Century Gothic" w:hAnsi="Century Gothic" w:cstheme="minorBidi"/>
          <w:color w:val="auto"/>
          <w:sz w:val="22"/>
          <w:szCs w:val="22"/>
        </w:rPr>
      </w:pPr>
      <w:r>
        <w:rPr>
          <w:rFonts w:ascii="Century Gothic" w:hAnsi="Century Gothic" w:cstheme="minorBidi"/>
          <w:color w:val="auto"/>
          <w:sz w:val="22"/>
          <w:szCs w:val="22"/>
        </w:rPr>
        <w:t xml:space="preserve">- </w:t>
      </w:r>
      <w:r w:rsidRPr="00E26EEF">
        <w:rPr>
          <w:rFonts w:ascii="Century Gothic" w:hAnsi="Century Gothic" w:cstheme="minorBidi"/>
          <w:color w:val="auto"/>
          <w:sz w:val="22"/>
          <w:szCs w:val="22"/>
        </w:rPr>
        <w:t>Article L 3232-1-2 du code général des collectivités territoriales</w:t>
      </w:r>
      <w:r w:rsidR="00B01BB3">
        <w:rPr>
          <w:rFonts w:ascii="Century Gothic" w:hAnsi="Century Gothic" w:cstheme="minorBidi"/>
          <w:color w:val="auto"/>
          <w:sz w:val="22"/>
          <w:szCs w:val="22"/>
        </w:rPr>
        <w:t> ;</w:t>
      </w:r>
    </w:p>
    <w:p w14:paraId="6B1C7FBF" w14:textId="4BA6AC24" w:rsidR="009004E9" w:rsidRDefault="009004E9" w:rsidP="00FB07E7">
      <w:pPr>
        <w:pStyle w:val="Default"/>
        <w:rPr>
          <w:rFonts w:ascii="Century Gothic" w:hAnsi="Century Gothic" w:cstheme="minorBidi"/>
          <w:color w:val="auto"/>
          <w:sz w:val="22"/>
          <w:szCs w:val="22"/>
        </w:rPr>
      </w:pPr>
    </w:p>
    <w:p w14:paraId="5426C542" w14:textId="6E6A4932" w:rsidR="00FB07E7" w:rsidRDefault="00FB07E7" w:rsidP="00FB07E7">
      <w:pPr>
        <w:pStyle w:val="Default"/>
        <w:rPr>
          <w:rFonts w:ascii="Century Gothic" w:hAnsi="Century Gothic" w:cstheme="minorBidi"/>
          <w:color w:val="auto"/>
          <w:sz w:val="22"/>
          <w:szCs w:val="22"/>
        </w:rPr>
      </w:pPr>
    </w:p>
    <w:p w14:paraId="7E86E34B" w14:textId="17CAB640" w:rsidR="00FB07E7" w:rsidRDefault="00FB07E7" w:rsidP="00FB07E7">
      <w:pPr>
        <w:pStyle w:val="Default"/>
        <w:rPr>
          <w:rFonts w:ascii="Century Gothic" w:hAnsi="Century Gothic" w:cstheme="minorBidi"/>
          <w:color w:val="auto"/>
          <w:sz w:val="22"/>
          <w:szCs w:val="22"/>
        </w:rPr>
      </w:pPr>
    </w:p>
    <w:p w14:paraId="56BE6E6B" w14:textId="77777777" w:rsidR="00FB07E7" w:rsidRPr="00C764AD" w:rsidRDefault="00FB07E7" w:rsidP="00FB07E7">
      <w:pPr>
        <w:pStyle w:val="Default"/>
        <w:rPr>
          <w:rFonts w:ascii="Century Gothic" w:hAnsi="Century Gothic" w:cstheme="minorBidi"/>
          <w:color w:val="auto"/>
          <w:sz w:val="22"/>
          <w:szCs w:val="22"/>
        </w:rPr>
      </w:pPr>
    </w:p>
    <w:p w14:paraId="3F5DA405" w14:textId="77777777" w:rsidR="009004E9" w:rsidRPr="00C764AD" w:rsidRDefault="009004E9" w:rsidP="009004E9">
      <w:pPr>
        <w:pStyle w:val="Default"/>
        <w:numPr>
          <w:ilvl w:val="0"/>
          <w:numId w:val="16"/>
        </w:numPr>
        <w:rPr>
          <w:rFonts w:ascii="Century Gothic" w:hAnsi="Century Gothic" w:cstheme="minorBidi"/>
          <w:color w:val="auto"/>
          <w:sz w:val="22"/>
          <w:szCs w:val="22"/>
        </w:rPr>
      </w:pPr>
      <w:r w:rsidRPr="00C764AD">
        <w:rPr>
          <w:rFonts w:ascii="Century Gothic" w:hAnsi="Century Gothic" w:cstheme="minorBidi"/>
          <w:color w:val="auto"/>
          <w:sz w:val="22"/>
          <w:szCs w:val="22"/>
          <w:u w:val="single"/>
        </w:rPr>
        <w:t>Cadre juridique local</w:t>
      </w:r>
      <w:r w:rsidRPr="00C764AD">
        <w:rPr>
          <w:rFonts w:ascii="Century Gothic" w:hAnsi="Century Gothic" w:cstheme="minorBidi"/>
          <w:color w:val="auto"/>
          <w:sz w:val="22"/>
          <w:szCs w:val="22"/>
        </w:rPr>
        <w:t xml:space="preserve"> : </w:t>
      </w:r>
    </w:p>
    <w:p w14:paraId="066A215F" w14:textId="1B28D7D5" w:rsidR="009004E9" w:rsidRPr="00C764AD" w:rsidRDefault="009004E9" w:rsidP="009004E9">
      <w:pPr>
        <w:pStyle w:val="Default"/>
        <w:numPr>
          <w:ilvl w:val="0"/>
          <w:numId w:val="16"/>
        </w:numPr>
        <w:rPr>
          <w:rFonts w:ascii="Century Gothic" w:hAnsi="Century Gothic" w:cstheme="minorBidi"/>
          <w:color w:val="auto"/>
          <w:sz w:val="22"/>
          <w:szCs w:val="22"/>
        </w:rPr>
      </w:pPr>
      <w:r w:rsidRPr="00C764AD">
        <w:rPr>
          <w:rFonts w:ascii="Century Gothic" w:hAnsi="Century Gothic" w:cstheme="minorBidi"/>
          <w:color w:val="auto"/>
          <w:sz w:val="22"/>
          <w:szCs w:val="22"/>
        </w:rPr>
        <w:t xml:space="preserve">- Convention cadre entre le Département de Maine et Loire </w:t>
      </w:r>
      <w:r w:rsidR="00E62FE0">
        <w:rPr>
          <w:rFonts w:ascii="Century Gothic" w:hAnsi="Century Gothic" w:cstheme="minorBidi"/>
          <w:color w:val="auto"/>
          <w:sz w:val="22"/>
          <w:szCs w:val="22"/>
        </w:rPr>
        <w:t>et la Région Pays de la Loire</w:t>
      </w:r>
      <w:r w:rsidR="00C22D1F">
        <w:rPr>
          <w:rFonts w:ascii="Century Gothic" w:hAnsi="Century Gothic" w:cstheme="minorBidi"/>
          <w:color w:val="auto"/>
          <w:sz w:val="22"/>
          <w:szCs w:val="22"/>
        </w:rPr>
        <w:t> ;</w:t>
      </w:r>
    </w:p>
    <w:p w14:paraId="308EECEA" w14:textId="1103BF5D" w:rsidR="009004E9" w:rsidRPr="00C764AD" w:rsidRDefault="009004E9" w:rsidP="009004E9">
      <w:pPr>
        <w:pStyle w:val="Default"/>
        <w:numPr>
          <w:ilvl w:val="0"/>
          <w:numId w:val="16"/>
        </w:numPr>
        <w:rPr>
          <w:rFonts w:ascii="Century Gothic" w:hAnsi="Century Gothic" w:cstheme="minorBidi"/>
          <w:color w:val="auto"/>
          <w:sz w:val="22"/>
          <w:szCs w:val="22"/>
        </w:rPr>
      </w:pPr>
      <w:r w:rsidRPr="00C764AD">
        <w:rPr>
          <w:rFonts w:ascii="Century Gothic" w:hAnsi="Century Gothic" w:cstheme="minorBidi"/>
          <w:color w:val="auto"/>
          <w:sz w:val="22"/>
          <w:szCs w:val="22"/>
        </w:rPr>
        <w:t>- Règlement budgétaire et financier du</w:t>
      </w:r>
      <w:r w:rsidR="00E62FE0">
        <w:rPr>
          <w:rFonts w:ascii="Century Gothic" w:hAnsi="Century Gothic" w:cstheme="minorBidi"/>
          <w:color w:val="auto"/>
          <w:sz w:val="22"/>
          <w:szCs w:val="22"/>
        </w:rPr>
        <w:t xml:space="preserve"> Département de Maine et Loire</w:t>
      </w:r>
      <w:r w:rsidR="00C22D1F">
        <w:rPr>
          <w:rFonts w:ascii="Century Gothic" w:hAnsi="Century Gothic" w:cstheme="minorBidi"/>
          <w:color w:val="auto"/>
          <w:sz w:val="22"/>
          <w:szCs w:val="22"/>
        </w:rPr>
        <w:t> ;</w:t>
      </w:r>
    </w:p>
    <w:p w14:paraId="75676F9F" w14:textId="3D8BC462" w:rsidR="009004E9" w:rsidRPr="009004E9" w:rsidRDefault="009004E9" w:rsidP="009004E9">
      <w:pPr>
        <w:pStyle w:val="Default"/>
        <w:rPr>
          <w:rFonts w:ascii="Century Gothic" w:hAnsi="Century Gothic" w:cstheme="minorBidi"/>
          <w:color w:val="auto"/>
          <w:sz w:val="22"/>
          <w:szCs w:val="22"/>
        </w:rPr>
      </w:pPr>
      <w:r w:rsidRPr="00C764AD">
        <w:rPr>
          <w:rFonts w:ascii="Century Gothic" w:hAnsi="Century Gothic" w:cstheme="minorBidi"/>
          <w:color w:val="auto"/>
          <w:sz w:val="22"/>
          <w:szCs w:val="22"/>
        </w:rPr>
        <w:t>- Le présent règlement.</w:t>
      </w:r>
    </w:p>
    <w:p w14:paraId="03265BB3" w14:textId="77777777" w:rsidR="004C1A4A" w:rsidRPr="00E26EEF" w:rsidRDefault="004C1A4A" w:rsidP="00D3265B">
      <w:pPr>
        <w:spacing w:after="0" w:line="240" w:lineRule="auto"/>
        <w:jc w:val="both"/>
        <w:rPr>
          <w:rFonts w:ascii="Century Gothic" w:hAnsi="Century Gothic"/>
        </w:rPr>
      </w:pPr>
    </w:p>
    <w:p w14:paraId="63CF8913" w14:textId="2E550031" w:rsidR="007B5B39" w:rsidRPr="00E26EEF" w:rsidRDefault="009004E9" w:rsidP="007B5B39">
      <w:pPr>
        <w:pStyle w:val="En-tte"/>
        <w:rPr>
          <w:rFonts w:ascii="Century Gothic" w:eastAsiaTheme="minorHAnsi" w:hAnsi="Century Gothic" w:cstheme="minorBidi"/>
          <w:b/>
          <w:sz w:val="22"/>
        </w:rPr>
      </w:pPr>
      <w:r>
        <w:rPr>
          <w:rFonts w:ascii="Century Gothic" w:eastAsiaTheme="minorHAnsi" w:hAnsi="Century Gothic" w:cstheme="minorBidi"/>
          <w:b/>
          <w:sz w:val="22"/>
        </w:rPr>
        <w:t>3</w:t>
      </w:r>
      <w:r w:rsidR="007B5B39" w:rsidRPr="00E26EEF">
        <w:rPr>
          <w:rFonts w:ascii="Century Gothic" w:eastAsiaTheme="minorHAnsi" w:hAnsi="Century Gothic" w:cstheme="minorBidi"/>
          <w:b/>
          <w:sz w:val="22"/>
        </w:rPr>
        <w:t>/ Bénéficiaires</w:t>
      </w:r>
    </w:p>
    <w:p w14:paraId="2BCA9A5C" w14:textId="77777777" w:rsidR="007B5B39" w:rsidRPr="00E26EEF" w:rsidRDefault="007B5B39" w:rsidP="007B5B39">
      <w:pPr>
        <w:pStyle w:val="Default"/>
        <w:jc w:val="both"/>
        <w:rPr>
          <w:rFonts w:ascii="Century Gothic" w:hAnsi="Century Gothic" w:cstheme="minorBidi"/>
          <w:color w:val="auto"/>
          <w:sz w:val="22"/>
          <w:szCs w:val="22"/>
        </w:rPr>
      </w:pPr>
      <w:r w:rsidRPr="00E26EEF">
        <w:rPr>
          <w:rFonts w:ascii="Century Gothic" w:eastAsia="Calibri" w:hAnsi="Century Gothic" w:cs="Times New Roman"/>
          <w:color w:val="auto"/>
          <w:sz w:val="22"/>
          <w:szCs w:val="22"/>
        </w:rPr>
        <w:t xml:space="preserve"> </w:t>
      </w:r>
      <w:r w:rsidRPr="00E26EEF">
        <w:rPr>
          <w:rFonts w:ascii="Century Gothic" w:hAnsi="Century Gothic" w:cstheme="minorBidi"/>
          <w:color w:val="auto"/>
          <w:sz w:val="22"/>
          <w:szCs w:val="22"/>
        </w:rPr>
        <w:t xml:space="preserve">Sont éligibles : </w:t>
      </w:r>
    </w:p>
    <w:p w14:paraId="5719AE9C" w14:textId="453DE803" w:rsidR="00EC1C31" w:rsidRDefault="007B5B39" w:rsidP="00CE2B17">
      <w:pPr>
        <w:pStyle w:val="Default"/>
        <w:numPr>
          <w:ilvl w:val="0"/>
          <w:numId w:val="20"/>
        </w:numPr>
        <w:spacing w:after="14"/>
        <w:jc w:val="both"/>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Les agriculteurs personnes physiques ou morales au sens des articles 3 et 4 du règlement (UE) 2021/2115 et de la réglementation nationale prise pour son application dont les groupements agricoles d'exploitation en commun (GAEC) ; </w:t>
      </w:r>
    </w:p>
    <w:p w14:paraId="30E46F3C" w14:textId="4944EEF7" w:rsidR="00EC1C31" w:rsidRPr="00EC1C31" w:rsidRDefault="007B5B39" w:rsidP="00CE2B17">
      <w:pPr>
        <w:pStyle w:val="Default"/>
        <w:numPr>
          <w:ilvl w:val="0"/>
          <w:numId w:val="20"/>
        </w:numPr>
        <w:spacing w:after="14"/>
        <w:jc w:val="both"/>
        <w:rPr>
          <w:rFonts w:ascii="Century Gothic" w:hAnsi="Century Gothic" w:cstheme="minorBidi"/>
          <w:color w:val="auto"/>
          <w:sz w:val="22"/>
          <w:szCs w:val="22"/>
        </w:rPr>
      </w:pPr>
      <w:r w:rsidRPr="009004E9">
        <w:rPr>
          <w:rFonts w:ascii="Century Gothic" w:hAnsi="Century Gothic" w:cstheme="minorBidi"/>
          <w:color w:val="auto"/>
          <w:sz w:val="22"/>
          <w:szCs w:val="22"/>
        </w:rPr>
        <w:t xml:space="preserve">Les coopératives d'utilisation de matériel agricole (CUMA) à jour de leur cotisation au Haut Conseil de la Coopération Agricole ; </w:t>
      </w:r>
    </w:p>
    <w:p w14:paraId="027BB846" w14:textId="0A75FE0D" w:rsidR="00D3265B" w:rsidRDefault="007B5B39" w:rsidP="00CE2B17">
      <w:pPr>
        <w:pStyle w:val="Default"/>
        <w:numPr>
          <w:ilvl w:val="0"/>
          <w:numId w:val="20"/>
        </w:numPr>
        <w:spacing w:after="14"/>
        <w:jc w:val="both"/>
        <w:rPr>
          <w:rFonts w:ascii="Century Gothic" w:hAnsi="Century Gothic" w:cstheme="minorBidi"/>
          <w:color w:val="auto"/>
          <w:sz w:val="22"/>
          <w:szCs w:val="22"/>
        </w:rPr>
      </w:pPr>
      <w:r w:rsidRPr="00EC1C31">
        <w:rPr>
          <w:rFonts w:ascii="Century Gothic" w:hAnsi="Century Gothic" w:cstheme="minorBidi"/>
          <w:color w:val="auto"/>
          <w:sz w:val="22"/>
          <w:szCs w:val="22"/>
        </w:rPr>
        <w:t>Les entreprises</w:t>
      </w:r>
      <w:r w:rsidR="005856B2" w:rsidRPr="001A1831">
        <w:rPr>
          <w:rFonts w:ascii="Century Gothic" w:hAnsi="Century Gothic" w:cstheme="minorBidi"/>
          <w:sz w:val="22"/>
          <w:szCs w:val="22"/>
          <w:vertAlign w:val="superscript"/>
        </w:rPr>
        <w:footnoteReference w:id="1"/>
      </w:r>
      <w:r w:rsidRPr="00EC1C31">
        <w:rPr>
          <w:rFonts w:ascii="Century Gothic" w:hAnsi="Century Gothic" w:cstheme="minorBidi"/>
          <w:color w:val="auto"/>
          <w:sz w:val="22"/>
          <w:szCs w:val="22"/>
        </w:rPr>
        <w:t xml:space="preserve"> dont l’actionnariat principal (50 % ou plus) est composé d’agriculteurs ou de groupements d’agriculteurs au sens des articles 3</w:t>
      </w:r>
      <w:r w:rsidR="009E446A" w:rsidRPr="00EC1C31">
        <w:rPr>
          <w:rFonts w:ascii="Century Gothic" w:hAnsi="Century Gothic" w:cstheme="minorBidi"/>
          <w:color w:val="auto"/>
          <w:sz w:val="22"/>
          <w:szCs w:val="22"/>
        </w:rPr>
        <w:t xml:space="preserve"> et 4 du règlement </w:t>
      </w:r>
      <w:r w:rsidRPr="00EC1C31">
        <w:rPr>
          <w:rFonts w:ascii="Century Gothic" w:hAnsi="Century Gothic" w:cstheme="minorBidi"/>
          <w:color w:val="auto"/>
          <w:sz w:val="22"/>
          <w:szCs w:val="22"/>
        </w:rPr>
        <w:t xml:space="preserve">(UE) 2121/2115 et de la réglementation nationale prise pour son application et dont les autres actionnaires sont des personnes physiques. Ce type d’entreprise devra compter moins de 5 ETP à la date de la demande d’aide. </w:t>
      </w:r>
    </w:p>
    <w:p w14:paraId="6B9FFD21" w14:textId="77777777" w:rsidR="00595B8B" w:rsidRPr="00EC1C31" w:rsidRDefault="00595B8B" w:rsidP="00165190">
      <w:pPr>
        <w:pStyle w:val="Default"/>
        <w:spacing w:after="14"/>
        <w:ind w:left="720"/>
        <w:jc w:val="both"/>
        <w:rPr>
          <w:rFonts w:ascii="Century Gothic" w:hAnsi="Century Gothic" w:cstheme="minorBidi"/>
          <w:color w:val="auto"/>
          <w:sz w:val="22"/>
          <w:szCs w:val="22"/>
        </w:rPr>
      </w:pPr>
    </w:p>
    <w:p w14:paraId="687E7A54" w14:textId="691202FC" w:rsidR="007B5B39" w:rsidRDefault="007813A8" w:rsidP="00D3265B">
      <w:pPr>
        <w:pStyle w:val="Default"/>
        <w:jc w:val="both"/>
        <w:rPr>
          <w:rFonts w:ascii="Century Gothic" w:hAnsi="Century Gothic" w:cstheme="minorBidi"/>
          <w:b/>
          <w:sz w:val="22"/>
          <w:szCs w:val="22"/>
        </w:rPr>
      </w:pPr>
      <w:r w:rsidRPr="007813A8">
        <w:rPr>
          <w:rFonts w:ascii="Century Gothic" w:hAnsi="Century Gothic" w:cstheme="minorBidi"/>
          <w:color w:val="auto"/>
          <w:sz w:val="22"/>
          <w:szCs w:val="22"/>
        </w:rPr>
        <w:t xml:space="preserve">Dans tous les cas, seuls sont éligibles les </w:t>
      </w:r>
      <w:r>
        <w:rPr>
          <w:rFonts w:ascii="Century Gothic" w:hAnsi="Century Gothic" w:cstheme="minorBidi"/>
          <w:color w:val="auto"/>
          <w:sz w:val="22"/>
          <w:szCs w:val="22"/>
        </w:rPr>
        <w:t>personnes</w:t>
      </w:r>
      <w:r w:rsidRPr="007813A8">
        <w:rPr>
          <w:rFonts w:ascii="Century Gothic" w:hAnsi="Century Gothic" w:cstheme="minorBidi"/>
          <w:color w:val="auto"/>
          <w:sz w:val="22"/>
          <w:szCs w:val="22"/>
        </w:rPr>
        <w:t xml:space="preserve"> dont l’exploitation porteuse de projet et, s’il est différent, le siège social sont situés dans le département de Maine-et-Loire.</w:t>
      </w:r>
      <w:r w:rsidR="007B5B39" w:rsidRPr="00E26EEF">
        <w:rPr>
          <w:rFonts w:ascii="Century Gothic" w:hAnsi="Century Gothic" w:cstheme="minorBidi"/>
          <w:b/>
          <w:sz w:val="22"/>
          <w:szCs w:val="22"/>
        </w:rPr>
        <w:tab/>
      </w:r>
    </w:p>
    <w:p w14:paraId="326C5608" w14:textId="77777777" w:rsidR="00595B8B" w:rsidRPr="00E26EEF" w:rsidRDefault="00595B8B" w:rsidP="00D3265B">
      <w:pPr>
        <w:pStyle w:val="Default"/>
        <w:jc w:val="both"/>
        <w:rPr>
          <w:rFonts w:ascii="Century Gothic" w:hAnsi="Century Gothic" w:cstheme="minorBidi"/>
          <w:color w:val="auto"/>
          <w:sz w:val="22"/>
          <w:szCs w:val="22"/>
        </w:rPr>
      </w:pPr>
    </w:p>
    <w:p w14:paraId="1780ACF5" w14:textId="05E5D18E" w:rsidR="00D12FAB" w:rsidRDefault="00A353DF" w:rsidP="00D12FAB">
      <w:pPr>
        <w:pStyle w:val="En-tte"/>
        <w:rPr>
          <w:rFonts w:ascii="Century Gothic" w:eastAsiaTheme="minorHAnsi" w:hAnsi="Century Gothic" w:cstheme="minorBidi"/>
          <w:b/>
          <w:sz w:val="22"/>
        </w:rPr>
      </w:pPr>
      <w:r>
        <w:rPr>
          <w:rFonts w:ascii="Century Gothic" w:eastAsiaTheme="minorHAnsi" w:hAnsi="Century Gothic" w:cstheme="minorBidi"/>
          <w:b/>
          <w:sz w:val="22"/>
        </w:rPr>
        <w:t>4</w:t>
      </w:r>
      <w:r w:rsidR="007B5B39" w:rsidRPr="00E26EEF">
        <w:rPr>
          <w:rFonts w:ascii="Century Gothic" w:eastAsiaTheme="minorHAnsi" w:hAnsi="Century Gothic" w:cstheme="minorBidi"/>
          <w:b/>
          <w:sz w:val="22"/>
        </w:rPr>
        <w:t>/ Nature et montant de la subvention</w:t>
      </w:r>
    </w:p>
    <w:p w14:paraId="7377B887" w14:textId="5BFD307E" w:rsidR="007B5B39" w:rsidRPr="00D12FAB" w:rsidRDefault="00D12FAB" w:rsidP="00D12FAB">
      <w:pPr>
        <w:pStyle w:val="En-tte"/>
        <w:rPr>
          <w:rFonts w:ascii="Century Gothic" w:eastAsiaTheme="minorHAnsi" w:hAnsi="Century Gothic" w:cstheme="minorBidi"/>
          <w:b/>
          <w:sz w:val="22"/>
        </w:rPr>
      </w:pPr>
      <w:r w:rsidRPr="00D12FAB">
        <w:rPr>
          <w:rFonts w:ascii="Century Gothic" w:eastAsiaTheme="minorHAnsi" w:hAnsi="Century Gothic" w:cstheme="minorBidi"/>
          <w:sz w:val="22"/>
          <w:u w:val="single"/>
        </w:rPr>
        <w:t>Dé</w:t>
      </w:r>
      <w:r w:rsidR="009E446A" w:rsidRPr="00E26EEF">
        <w:rPr>
          <w:rFonts w:ascii="Century Gothic" w:eastAsiaTheme="minorHAnsi" w:hAnsi="Century Gothic" w:cstheme="minorBidi"/>
          <w:sz w:val="22"/>
          <w:u w:val="single"/>
        </w:rPr>
        <w:t xml:space="preserve">penses éligibles : </w:t>
      </w:r>
    </w:p>
    <w:p w14:paraId="59366E10" w14:textId="1F53ABFB" w:rsidR="00D12FAB" w:rsidRPr="008D2449" w:rsidRDefault="007B5B39" w:rsidP="007B5B39">
      <w:pPr>
        <w:pStyle w:val="Default"/>
        <w:jc w:val="both"/>
        <w:rPr>
          <w:rFonts w:ascii="Century Gothic" w:hAnsi="Century Gothic" w:cstheme="minorBidi"/>
          <w:color w:val="auto"/>
          <w:sz w:val="22"/>
          <w:szCs w:val="22"/>
        </w:rPr>
      </w:pPr>
      <w:r w:rsidRPr="008D2449">
        <w:rPr>
          <w:rFonts w:ascii="Century Gothic" w:hAnsi="Century Gothic" w:cstheme="minorBidi"/>
          <w:color w:val="auto"/>
          <w:sz w:val="22"/>
          <w:szCs w:val="22"/>
        </w:rPr>
        <w:t>Les dépenses éligibles concernent les investissements relatifs aux ateliers de transformation de produits agricoles</w:t>
      </w:r>
      <w:r w:rsidR="008D2449">
        <w:rPr>
          <w:rFonts w:ascii="Century Gothic" w:hAnsi="Century Gothic" w:cstheme="minorBidi"/>
          <w:color w:val="auto"/>
          <w:sz w:val="22"/>
          <w:szCs w:val="22"/>
        </w:rPr>
        <w:t xml:space="preserve"> </w:t>
      </w:r>
      <w:r w:rsidRPr="008D2449">
        <w:rPr>
          <w:rFonts w:ascii="Century Gothic" w:hAnsi="Century Gothic" w:cstheme="minorBidi"/>
          <w:color w:val="auto"/>
          <w:sz w:val="22"/>
          <w:szCs w:val="22"/>
        </w:rPr>
        <w:t xml:space="preserve">de(s) l’exploitation(s) porteuse(s) du projet. </w:t>
      </w:r>
    </w:p>
    <w:p w14:paraId="2F3D8022" w14:textId="77777777" w:rsidR="00D12FAB" w:rsidRPr="001A1831" w:rsidRDefault="00D12FAB" w:rsidP="007B5B39">
      <w:pPr>
        <w:pStyle w:val="Default"/>
        <w:jc w:val="both"/>
        <w:rPr>
          <w:rFonts w:ascii="Century Gothic" w:hAnsi="Century Gothic" w:cstheme="minorBidi"/>
          <w:color w:val="auto"/>
          <w:sz w:val="22"/>
          <w:szCs w:val="22"/>
          <w:highlight w:val="yellow"/>
        </w:rPr>
      </w:pPr>
    </w:p>
    <w:p w14:paraId="5C6E4434" w14:textId="64C69924" w:rsidR="007B5B39" w:rsidRPr="00A364B1" w:rsidRDefault="007B5B39" w:rsidP="007B5B39">
      <w:pPr>
        <w:pStyle w:val="Default"/>
        <w:jc w:val="both"/>
        <w:rPr>
          <w:rFonts w:ascii="Century Gothic" w:hAnsi="Century Gothic" w:cstheme="minorBidi"/>
          <w:color w:val="auto"/>
          <w:sz w:val="22"/>
          <w:szCs w:val="22"/>
        </w:rPr>
      </w:pPr>
      <w:r w:rsidRPr="00A364B1">
        <w:rPr>
          <w:rFonts w:ascii="Century Gothic" w:hAnsi="Century Gothic" w:cstheme="minorBidi"/>
          <w:color w:val="auto"/>
          <w:sz w:val="22"/>
          <w:szCs w:val="22"/>
        </w:rPr>
        <w:t>Sont admissibles les investissements</w:t>
      </w:r>
      <w:r w:rsidR="007C7B85">
        <w:rPr>
          <w:rFonts w:ascii="Century Gothic" w:hAnsi="Century Gothic" w:cstheme="minorBidi"/>
          <w:color w:val="auto"/>
          <w:sz w:val="22"/>
          <w:szCs w:val="22"/>
        </w:rPr>
        <w:t xml:space="preserve"> relatifs aux projets</w:t>
      </w:r>
      <w:r w:rsidRPr="00A364B1">
        <w:rPr>
          <w:rFonts w:ascii="Century Gothic" w:hAnsi="Century Gothic" w:cstheme="minorBidi"/>
          <w:color w:val="auto"/>
          <w:sz w:val="22"/>
          <w:szCs w:val="22"/>
        </w:rPr>
        <w:t xml:space="preserve"> ayant pour objet : </w:t>
      </w:r>
    </w:p>
    <w:p w14:paraId="572CEF38" w14:textId="1CD0681A" w:rsidR="008D2449" w:rsidRPr="00A364B1" w:rsidRDefault="008D2449" w:rsidP="007B5B39">
      <w:pPr>
        <w:pStyle w:val="Default"/>
        <w:jc w:val="both"/>
        <w:rPr>
          <w:rFonts w:ascii="Century Gothic" w:hAnsi="Century Gothic" w:cstheme="minorBidi"/>
          <w:color w:val="auto"/>
          <w:sz w:val="22"/>
          <w:szCs w:val="22"/>
        </w:rPr>
      </w:pPr>
    </w:p>
    <w:p w14:paraId="02367D19" w14:textId="27AEC8AB" w:rsidR="008D2449" w:rsidRPr="00A364B1" w:rsidRDefault="008D2449" w:rsidP="008D2449">
      <w:pPr>
        <w:pStyle w:val="Default"/>
        <w:numPr>
          <w:ilvl w:val="0"/>
          <w:numId w:val="21"/>
        </w:numPr>
        <w:jc w:val="both"/>
        <w:rPr>
          <w:rFonts w:ascii="Century Gothic" w:hAnsi="Century Gothic" w:cstheme="minorBidi"/>
          <w:color w:val="auto"/>
          <w:sz w:val="22"/>
          <w:szCs w:val="22"/>
        </w:rPr>
      </w:pPr>
      <w:r w:rsidRPr="00A364B1">
        <w:rPr>
          <w:rFonts w:ascii="Century Gothic" w:hAnsi="Century Gothic" w:cstheme="minorBidi"/>
          <w:color w:val="auto"/>
          <w:sz w:val="22"/>
          <w:szCs w:val="22"/>
        </w:rPr>
        <w:t xml:space="preserve">La création d’ateliers ou </w:t>
      </w:r>
      <w:r w:rsidR="00B01BB3">
        <w:rPr>
          <w:rFonts w:ascii="Century Gothic" w:hAnsi="Century Gothic" w:cstheme="minorBidi"/>
          <w:color w:val="auto"/>
          <w:sz w:val="22"/>
          <w:szCs w:val="22"/>
        </w:rPr>
        <w:t xml:space="preserve">la </w:t>
      </w:r>
      <w:r w:rsidRPr="00A364B1">
        <w:rPr>
          <w:rFonts w:ascii="Century Gothic" w:hAnsi="Century Gothic" w:cstheme="minorBidi"/>
          <w:color w:val="auto"/>
          <w:sz w:val="22"/>
          <w:szCs w:val="22"/>
        </w:rPr>
        <w:t>rénovation d’ateliers existants qui visent à augmenter la capacité de production, à développer de nouveaux produits et/ou à améliorer les conditions de travail</w:t>
      </w:r>
      <w:r w:rsidR="001306ED">
        <w:rPr>
          <w:rFonts w:ascii="Century Gothic" w:hAnsi="Century Gothic" w:cstheme="minorBidi"/>
          <w:color w:val="auto"/>
          <w:sz w:val="22"/>
          <w:szCs w:val="22"/>
        </w:rPr>
        <w:t> ;</w:t>
      </w:r>
    </w:p>
    <w:p w14:paraId="30CC1F3D" w14:textId="77777777" w:rsidR="007B5B39" w:rsidRPr="00A364B1" w:rsidRDefault="007B5B39" w:rsidP="007B5B39">
      <w:pPr>
        <w:pStyle w:val="Default"/>
        <w:jc w:val="both"/>
        <w:rPr>
          <w:rFonts w:ascii="Century Gothic" w:hAnsi="Century Gothic" w:cstheme="minorBidi"/>
          <w:color w:val="auto"/>
          <w:sz w:val="22"/>
          <w:szCs w:val="22"/>
        </w:rPr>
      </w:pPr>
    </w:p>
    <w:p w14:paraId="2264CFF1" w14:textId="793202D0" w:rsidR="00E62FE0" w:rsidRDefault="004B760D" w:rsidP="00CB09A4">
      <w:pPr>
        <w:pStyle w:val="Default"/>
        <w:numPr>
          <w:ilvl w:val="0"/>
          <w:numId w:val="21"/>
        </w:numPr>
        <w:jc w:val="both"/>
        <w:rPr>
          <w:rFonts w:ascii="Century Gothic" w:hAnsi="Century Gothic" w:cstheme="minorBidi"/>
          <w:color w:val="auto"/>
          <w:sz w:val="22"/>
          <w:szCs w:val="22"/>
        </w:rPr>
      </w:pPr>
      <w:r w:rsidRPr="004B760D">
        <w:rPr>
          <w:rFonts w:ascii="Century Gothic" w:hAnsi="Century Gothic" w:cstheme="minorBidi"/>
          <w:color w:val="auto"/>
          <w:sz w:val="22"/>
          <w:szCs w:val="22"/>
        </w:rPr>
        <w:t>L</w:t>
      </w:r>
      <w:r w:rsidR="007B5B39" w:rsidRPr="004B760D">
        <w:rPr>
          <w:rFonts w:ascii="Century Gothic" w:hAnsi="Century Gothic" w:cstheme="minorBidi"/>
          <w:color w:val="auto"/>
          <w:sz w:val="22"/>
          <w:szCs w:val="22"/>
        </w:rPr>
        <w:t>a transf</w:t>
      </w:r>
      <w:r w:rsidR="00A364B1" w:rsidRPr="004B760D">
        <w:rPr>
          <w:rFonts w:ascii="Century Gothic" w:hAnsi="Century Gothic" w:cstheme="minorBidi"/>
          <w:color w:val="auto"/>
          <w:sz w:val="22"/>
          <w:szCs w:val="22"/>
        </w:rPr>
        <w:t xml:space="preserve">ormation, le conditionnement, le stockage et la commercialisation </w:t>
      </w:r>
      <w:r w:rsidR="005856B2" w:rsidRPr="004B760D">
        <w:rPr>
          <w:rFonts w:ascii="Century Gothic" w:hAnsi="Century Gothic" w:cstheme="minorBidi"/>
          <w:color w:val="auto"/>
          <w:sz w:val="22"/>
          <w:szCs w:val="22"/>
        </w:rPr>
        <w:t>des produits agricoles</w:t>
      </w:r>
      <w:r w:rsidR="005856B2" w:rsidRPr="00A364B1">
        <w:rPr>
          <w:rFonts w:ascii="Century Gothic" w:hAnsi="Century Gothic" w:cstheme="minorBidi"/>
          <w:sz w:val="22"/>
          <w:szCs w:val="22"/>
          <w:vertAlign w:val="superscript"/>
        </w:rPr>
        <w:footnoteReference w:id="2"/>
      </w:r>
      <w:r w:rsidR="007B5B39" w:rsidRPr="004B760D">
        <w:rPr>
          <w:rFonts w:ascii="Century Gothic" w:hAnsi="Century Gothic" w:cstheme="minorBidi"/>
          <w:color w:val="auto"/>
          <w:sz w:val="22"/>
          <w:szCs w:val="22"/>
        </w:rPr>
        <w:t xml:space="preserve">, que le produit fini soit ou non un produit agricole (tel que défini à l’annexe 1 du traité </w:t>
      </w:r>
      <w:r w:rsidR="00EE1B20">
        <w:rPr>
          <w:rFonts w:ascii="Century Gothic" w:hAnsi="Century Gothic" w:cstheme="minorBidi"/>
          <w:color w:val="auto"/>
          <w:sz w:val="22"/>
          <w:szCs w:val="22"/>
        </w:rPr>
        <w:t>sur le</w:t>
      </w:r>
      <w:r w:rsidR="00EE1B20" w:rsidRPr="004B760D">
        <w:rPr>
          <w:rFonts w:ascii="Century Gothic" w:hAnsi="Century Gothic" w:cstheme="minorBidi"/>
          <w:color w:val="auto"/>
          <w:sz w:val="22"/>
          <w:szCs w:val="22"/>
        </w:rPr>
        <w:t xml:space="preserve"> </w:t>
      </w:r>
      <w:r w:rsidR="007B5B39" w:rsidRPr="004B760D">
        <w:rPr>
          <w:rFonts w:ascii="Century Gothic" w:hAnsi="Century Gothic" w:cstheme="minorBidi"/>
          <w:color w:val="auto"/>
          <w:sz w:val="22"/>
          <w:szCs w:val="22"/>
        </w:rPr>
        <w:t>fonctionnement de l’Union européenne – TFUE)</w:t>
      </w:r>
      <w:r>
        <w:rPr>
          <w:rStyle w:val="Appelnotedebasdep"/>
          <w:rFonts w:ascii="Century Gothic" w:hAnsi="Century Gothic" w:cstheme="minorBidi"/>
          <w:color w:val="auto"/>
          <w:sz w:val="22"/>
          <w:szCs w:val="22"/>
        </w:rPr>
        <w:footnoteReference w:id="3"/>
      </w:r>
      <w:r w:rsidR="007B5B39" w:rsidRPr="004B760D">
        <w:rPr>
          <w:rFonts w:ascii="Century Gothic" w:hAnsi="Century Gothic" w:cstheme="minorBidi"/>
          <w:color w:val="auto"/>
          <w:sz w:val="22"/>
          <w:szCs w:val="22"/>
        </w:rPr>
        <w:t xml:space="preserve">. </w:t>
      </w:r>
    </w:p>
    <w:p w14:paraId="3D2836E2" w14:textId="730969BE" w:rsidR="004B760D" w:rsidRDefault="004B760D" w:rsidP="004B760D">
      <w:pPr>
        <w:pStyle w:val="Default"/>
        <w:jc w:val="both"/>
        <w:rPr>
          <w:rFonts w:ascii="Century Gothic" w:hAnsi="Century Gothic" w:cstheme="minorBidi"/>
          <w:color w:val="auto"/>
          <w:sz w:val="22"/>
          <w:szCs w:val="22"/>
        </w:rPr>
      </w:pPr>
    </w:p>
    <w:p w14:paraId="1FD83776" w14:textId="77777777" w:rsidR="00165190" w:rsidRPr="00165190" w:rsidRDefault="00165190" w:rsidP="00165190">
      <w:pPr>
        <w:pStyle w:val="En-tte"/>
        <w:tabs>
          <w:tab w:val="left" w:pos="284"/>
        </w:tabs>
        <w:spacing w:after="0"/>
        <w:rPr>
          <w:rFonts w:ascii="Century Gothic" w:eastAsiaTheme="minorHAnsi" w:hAnsi="Century Gothic" w:cstheme="minorBidi"/>
          <w:sz w:val="22"/>
        </w:rPr>
      </w:pPr>
      <w:r w:rsidRPr="00165190">
        <w:rPr>
          <w:rFonts w:ascii="Century Gothic" w:eastAsiaTheme="minorHAnsi" w:hAnsi="Century Gothic" w:cstheme="minorBidi"/>
          <w:sz w:val="22"/>
          <w:u w:val="single"/>
        </w:rPr>
        <w:t xml:space="preserve">Transformation </w:t>
      </w:r>
      <w:r w:rsidRPr="00165190">
        <w:rPr>
          <w:rFonts w:ascii="Century Gothic" w:eastAsiaTheme="minorHAnsi" w:hAnsi="Century Gothic" w:cstheme="minorBidi"/>
          <w:sz w:val="22"/>
        </w:rPr>
        <w:t>: action de diviser, séparer, trancher, découper, désosser, hacher, dépouiller, broyer, couper, nettoyer, tailler, décortiquer, moudre OU action de modifier à cœur un produit par chauffage, fumaison, salaison, maturation, dessiccation, marinage, extraction, intrusion OU action de mirer et calibrer des œufs OU action d’abattre des volailles et des lagomorphes au sein des établissements d’abattage non agréés OU toute combinaison de ces actions.</w:t>
      </w:r>
    </w:p>
    <w:p w14:paraId="5DD68350" w14:textId="77777777" w:rsidR="00165190" w:rsidRDefault="00165190" w:rsidP="00165190">
      <w:pPr>
        <w:pStyle w:val="En-tte"/>
        <w:tabs>
          <w:tab w:val="left" w:pos="284"/>
        </w:tabs>
        <w:spacing w:after="0" w:line="240" w:lineRule="auto"/>
        <w:rPr>
          <w:rFonts w:ascii="Century Gothic" w:eastAsiaTheme="minorHAnsi" w:hAnsi="Century Gothic" w:cstheme="minorBidi"/>
          <w:sz w:val="22"/>
        </w:rPr>
      </w:pPr>
    </w:p>
    <w:p w14:paraId="0653889B" w14:textId="77777777" w:rsidR="00FB07E7" w:rsidRDefault="00FB07E7" w:rsidP="00165190">
      <w:pPr>
        <w:pStyle w:val="En-tte"/>
        <w:tabs>
          <w:tab w:val="left" w:pos="284"/>
        </w:tabs>
        <w:spacing w:after="0" w:line="240" w:lineRule="auto"/>
        <w:rPr>
          <w:rFonts w:ascii="Century Gothic" w:eastAsiaTheme="minorHAnsi" w:hAnsi="Century Gothic" w:cstheme="minorBidi"/>
          <w:sz w:val="22"/>
          <w:u w:val="single"/>
        </w:rPr>
      </w:pPr>
    </w:p>
    <w:p w14:paraId="3445EA15" w14:textId="67535E16" w:rsidR="00165190" w:rsidRDefault="00165190" w:rsidP="004B760D">
      <w:pPr>
        <w:pStyle w:val="Default"/>
        <w:jc w:val="both"/>
        <w:rPr>
          <w:rFonts w:ascii="Century Gothic" w:hAnsi="Century Gothic" w:cstheme="minorBidi"/>
          <w:color w:val="auto"/>
          <w:sz w:val="22"/>
          <w:szCs w:val="22"/>
        </w:rPr>
      </w:pPr>
      <w:r w:rsidRPr="00165190">
        <w:rPr>
          <w:rFonts w:ascii="Century Gothic" w:hAnsi="Century Gothic" w:cstheme="minorBidi"/>
          <w:sz w:val="22"/>
          <w:u w:val="single"/>
        </w:rPr>
        <w:t>Conditionnement</w:t>
      </w:r>
      <w:r w:rsidRPr="00165190">
        <w:rPr>
          <w:rFonts w:ascii="Century Gothic" w:hAnsi="Century Gothic" w:cstheme="minorBidi"/>
          <w:sz w:val="22"/>
        </w:rPr>
        <w:t xml:space="preserve"> : Action de placer une denrée alimentaire dans une enveloppe ou un contenant en contact direct avec la denrée concernée.</w:t>
      </w:r>
    </w:p>
    <w:p w14:paraId="044D6E27" w14:textId="77777777" w:rsidR="00FB07E7" w:rsidRPr="004B760D" w:rsidRDefault="00FB07E7" w:rsidP="004B760D">
      <w:pPr>
        <w:pStyle w:val="Default"/>
        <w:jc w:val="both"/>
        <w:rPr>
          <w:rFonts w:ascii="Century Gothic" w:hAnsi="Century Gothic" w:cstheme="minorBidi"/>
          <w:color w:val="auto"/>
          <w:sz w:val="22"/>
          <w:szCs w:val="22"/>
        </w:rPr>
      </w:pPr>
    </w:p>
    <w:p w14:paraId="06F4A022" w14:textId="4F7490DE" w:rsidR="00A364B1" w:rsidRDefault="00C22D1F" w:rsidP="00E62FE0">
      <w:pPr>
        <w:pStyle w:val="Default"/>
        <w:jc w:val="both"/>
        <w:rPr>
          <w:rFonts w:ascii="Century Gothic" w:hAnsi="Century Gothic" w:cstheme="minorBidi"/>
          <w:color w:val="auto"/>
          <w:sz w:val="22"/>
          <w:szCs w:val="22"/>
        </w:rPr>
      </w:pPr>
      <w:r>
        <w:rPr>
          <w:rFonts w:ascii="Century Gothic" w:hAnsi="Century Gothic" w:cstheme="minorBidi"/>
          <w:color w:val="auto"/>
          <w:sz w:val="22"/>
          <w:szCs w:val="22"/>
        </w:rPr>
        <w:t>A noter que l</w:t>
      </w:r>
      <w:r w:rsidR="00A364B1" w:rsidRPr="00E62FE0">
        <w:rPr>
          <w:rFonts w:ascii="Century Gothic" w:hAnsi="Century Gothic" w:cstheme="minorBidi"/>
          <w:color w:val="auto"/>
          <w:sz w:val="22"/>
          <w:szCs w:val="22"/>
        </w:rPr>
        <w:t>es produits transformés seront à destination de l’alimentation humaine</w:t>
      </w:r>
      <w:r w:rsidR="001306ED">
        <w:rPr>
          <w:rFonts w:ascii="Century Gothic" w:hAnsi="Century Gothic" w:cstheme="minorBidi"/>
          <w:color w:val="auto"/>
          <w:sz w:val="22"/>
          <w:szCs w:val="22"/>
        </w:rPr>
        <w:t>.</w:t>
      </w:r>
    </w:p>
    <w:p w14:paraId="1F4E1996" w14:textId="77777777" w:rsidR="001306ED" w:rsidRPr="00E62FE0" w:rsidRDefault="001306ED" w:rsidP="00E62FE0">
      <w:pPr>
        <w:pStyle w:val="Default"/>
        <w:jc w:val="both"/>
        <w:rPr>
          <w:rFonts w:ascii="Century Gothic" w:hAnsi="Century Gothic" w:cstheme="minorBidi"/>
          <w:color w:val="auto"/>
          <w:sz w:val="22"/>
          <w:szCs w:val="22"/>
        </w:rPr>
      </w:pPr>
    </w:p>
    <w:p w14:paraId="08FDD33A" w14:textId="513A4D3C" w:rsidR="00A364B1" w:rsidRPr="00A364B1" w:rsidRDefault="00A364B1" w:rsidP="00A364B1">
      <w:pPr>
        <w:pStyle w:val="En-tte"/>
        <w:tabs>
          <w:tab w:val="left" w:pos="284"/>
        </w:tabs>
        <w:spacing w:after="0" w:line="240" w:lineRule="auto"/>
        <w:rPr>
          <w:rFonts w:ascii="Century Gothic" w:eastAsiaTheme="minorHAnsi" w:hAnsi="Century Gothic" w:cstheme="minorBidi"/>
          <w:sz w:val="22"/>
        </w:rPr>
      </w:pPr>
      <w:r w:rsidRPr="0067455A">
        <w:rPr>
          <w:rFonts w:ascii="Century Gothic" w:eastAsiaTheme="minorHAnsi" w:hAnsi="Century Gothic" w:cstheme="minorBidi"/>
          <w:sz w:val="22"/>
        </w:rPr>
        <w:t xml:space="preserve">Le conditionnement de produits agricoles bruts </w:t>
      </w:r>
      <w:r w:rsidR="00A353DF" w:rsidRPr="0067455A">
        <w:rPr>
          <w:rFonts w:ascii="Century Gothic" w:eastAsiaTheme="minorHAnsi" w:hAnsi="Century Gothic" w:cstheme="minorBidi"/>
          <w:sz w:val="22"/>
        </w:rPr>
        <w:t>n’est</w:t>
      </w:r>
      <w:r w:rsidRPr="0067455A">
        <w:rPr>
          <w:rFonts w:ascii="Century Gothic" w:eastAsiaTheme="minorHAnsi" w:hAnsi="Century Gothic" w:cstheme="minorBidi"/>
          <w:sz w:val="22"/>
        </w:rPr>
        <w:t xml:space="preserve"> pas éligible (car pas de transformation) </w:t>
      </w:r>
      <w:r w:rsidR="008700FF" w:rsidRPr="0067455A">
        <w:rPr>
          <w:rFonts w:ascii="Century Gothic" w:eastAsiaTheme="minorHAnsi" w:hAnsi="Century Gothic" w:cstheme="minorBidi"/>
          <w:sz w:val="22"/>
        </w:rPr>
        <w:t>tout comme l</w:t>
      </w:r>
      <w:r w:rsidRPr="0067455A">
        <w:rPr>
          <w:rFonts w:ascii="Century Gothic" w:eastAsiaTheme="minorHAnsi" w:hAnsi="Century Gothic" w:cstheme="minorBidi"/>
          <w:sz w:val="22"/>
        </w:rPr>
        <w:t xml:space="preserve">e stockage seul </w:t>
      </w:r>
      <w:r w:rsidR="008700FF" w:rsidRPr="0067455A">
        <w:rPr>
          <w:rFonts w:ascii="Century Gothic" w:eastAsiaTheme="minorHAnsi" w:hAnsi="Century Gothic" w:cstheme="minorBidi"/>
          <w:sz w:val="22"/>
        </w:rPr>
        <w:t xml:space="preserve">et </w:t>
      </w:r>
      <w:r w:rsidR="00E62FE0" w:rsidRPr="0067455A">
        <w:rPr>
          <w:rFonts w:ascii="Century Gothic" w:eastAsiaTheme="minorHAnsi" w:hAnsi="Century Gothic" w:cstheme="minorBidi"/>
          <w:sz w:val="22"/>
        </w:rPr>
        <w:t>la commercialisation seul</w:t>
      </w:r>
      <w:r w:rsidR="008700FF" w:rsidRPr="0067455A">
        <w:rPr>
          <w:rFonts w:ascii="Century Gothic" w:eastAsiaTheme="minorHAnsi" w:hAnsi="Century Gothic" w:cstheme="minorBidi"/>
          <w:sz w:val="22"/>
        </w:rPr>
        <w:t>e.</w:t>
      </w:r>
    </w:p>
    <w:p w14:paraId="0510D5B8" w14:textId="15D7DB90" w:rsidR="00E26EEF" w:rsidRPr="001A1831" w:rsidRDefault="00E26EEF" w:rsidP="007B5B39">
      <w:pPr>
        <w:pStyle w:val="Default"/>
        <w:jc w:val="both"/>
        <w:rPr>
          <w:rFonts w:ascii="Century Gothic" w:hAnsi="Century Gothic" w:cstheme="minorBidi"/>
          <w:strike/>
          <w:color w:val="auto"/>
          <w:sz w:val="22"/>
          <w:szCs w:val="22"/>
          <w:highlight w:val="yellow"/>
        </w:rPr>
      </w:pPr>
    </w:p>
    <w:p w14:paraId="4E3D89C0" w14:textId="2437A057" w:rsidR="007B5B39" w:rsidRPr="00E26EEF" w:rsidRDefault="007B5B39" w:rsidP="007B5B39">
      <w:pPr>
        <w:pStyle w:val="Default"/>
        <w:jc w:val="both"/>
        <w:rPr>
          <w:rFonts w:ascii="Century Gothic" w:hAnsi="Century Gothic" w:cstheme="minorBidi"/>
          <w:color w:val="auto"/>
          <w:sz w:val="22"/>
          <w:szCs w:val="22"/>
        </w:rPr>
      </w:pPr>
      <w:r w:rsidRPr="00077197">
        <w:rPr>
          <w:rFonts w:ascii="Century Gothic" w:hAnsi="Century Gothic" w:cstheme="minorBidi"/>
          <w:color w:val="auto"/>
          <w:sz w:val="22"/>
          <w:szCs w:val="22"/>
        </w:rPr>
        <w:t xml:space="preserve">Les investissements </w:t>
      </w:r>
      <w:r w:rsidR="00A353DF">
        <w:rPr>
          <w:rFonts w:ascii="Century Gothic" w:hAnsi="Century Gothic" w:cstheme="minorBidi"/>
          <w:color w:val="auto"/>
          <w:sz w:val="22"/>
          <w:szCs w:val="22"/>
        </w:rPr>
        <w:t xml:space="preserve">éligibles </w:t>
      </w:r>
      <w:r w:rsidR="007C7B85">
        <w:rPr>
          <w:rFonts w:ascii="Century Gothic" w:hAnsi="Century Gothic" w:cstheme="minorBidi"/>
          <w:color w:val="auto"/>
          <w:sz w:val="22"/>
          <w:szCs w:val="22"/>
        </w:rPr>
        <w:t>sont</w:t>
      </w:r>
      <w:r w:rsidR="007C7B85" w:rsidRPr="00077197">
        <w:rPr>
          <w:rFonts w:ascii="Century Gothic" w:hAnsi="Century Gothic" w:cstheme="minorBidi"/>
          <w:color w:val="auto"/>
          <w:sz w:val="22"/>
          <w:szCs w:val="22"/>
        </w:rPr>
        <w:t xml:space="preserve"> </w:t>
      </w:r>
      <w:r w:rsidRPr="00077197">
        <w:rPr>
          <w:rFonts w:ascii="Century Gothic" w:hAnsi="Century Gothic" w:cstheme="minorBidi"/>
          <w:color w:val="auto"/>
          <w:sz w:val="22"/>
          <w:szCs w:val="22"/>
        </w:rPr>
        <w:t>:</w:t>
      </w:r>
      <w:r w:rsidRPr="00E26EEF">
        <w:rPr>
          <w:rFonts w:ascii="Century Gothic" w:hAnsi="Century Gothic" w:cstheme="minorBidi"/>
          <w:color w:val="auto"/>
          <w:sz w:val="22"/>
          <w:szCs w:val="22"/>
        </w:rPr>
        <w:t xml:space="preserve"> </w:t>
      </w:r>
    </w:p>
    <w:p w14:paraId="2E9BEDD7" w14:textId="77777777" w:rsidR="007B5B39" w:rsidRPr="00E26EEF" w:rsidRDefault="007B5B39" w:rsidP="007B5B39">
      <w:pPr>
        <w:pStyle w:val="Default"/>
        <w:jc w:val="both"/>
        <w:rPr>
          <w:rFonts w:ascii="Century Gothic" w:hAnsi="Century Gothic" w:cstheme="minorBidi"/>
          <w:color w:val="auto"/>
          <w:sz w:val="22"/>
          <w:szCs w:val="22"/>
        </w:rPr>
      </w:pPr>
    </w:p>
    <w:p w14:paraId="3521949B" w14:textId="0630DF80" w:rsidR="00077197" w:rsidRPr="00077197" w:rsidRDefault="00077197" w:rsidP="004B760D">
      <w:pPr>
        <w:pStyle w:val="Default"/>
        <w:numPr>
          <w:ilvl w:val="0"/>
          <w:numId w:val="22"/>
        </w:numPr>
        <w:spacing w:after="34"/>
        <w:jc w:val="both"/>
        <w:rPr>
          <w:rFonts w:ascii="Century Gothic" w:hAnsi="Century Gothic" w:cstheme="minorBidi"/>
          <w:color w:val="auto"/>
          <w:sz w:val="22"/>
          <w:szCs w:val="22"/>
        </w:rPr>
      </w:pPr>
      <w:r w:rsidRPr="00E26EEF">
        <w:rPr>
          <w:rFonts w:ascii="Century Gothic" w:hAnsi="Century Gothic" w:cstheme="minorBidi"/>
          <w:color w:val="auto"/>
          <w:sz w:val="22"/>
          <w:szCs w:val="22"/>
        </w:rPr>
        <w:t>Les</w:t>
      </w:r>
      <w:r w:rsidR="007B5B39" w:rsidRPr="00E26EEF">
        <w:rPr>
          <w:rFonts w:ascii="Century Gothic" w:hAnsi="Century Gothic" w:cstheme="minorBidi"/>
          <w:color w:val="auto"/>
          <w:sz w:val="22"/>
          <w:szCs w:val="22"/>
        </w:rPr>
        <w:t xml:space="preserve"> dépenses relatives à l’acquisition de matériels et équipements liés au projet</w:t>
      </w:r>
      <w:r w:rsidR="00A353DF">
        <w:rPr>
          <w:rFonts w:ascii="Century Gothic" w:hAnsi="Century Gothic" w:cstheme="minorBidi"/>
          <w:color w:val="auto"/>
          <w:sz w:val="22"/>
          <w:szCs w:val="22"/>
        </w:rPr>
        <w:t>,</w:t>
      </w:r>
      <w:r w:rsidR="007B5B39" w:rsidRPr="00E26EEF">
        <w:rPr>
          <w:rFonts w:ascii="Century Gothic" w:hAnsi="Century Gothic" w:cstheme="minorBidi"/>
          <w:color w:val="auto"/>
          <w:sz w:val="22"/>
          <w:szCs w:val="22"/>
        </w:rPr>
        <w:t xml:space="preserve"> </w:t>
      </w:r>
      <w:r w:rsidR="00A353DF">
        <w:rPr>
          <w:rFonts w:ascii="Century Gothic" w:hAnsi="Century Gothic" w:cstheme="minorBidi"/>
          <w:color w:val="auto"/>
          <w:sz w:val="22"/>
          <w:szCs w:val="22"/>
        </w:rPr>
        <w:t>y compris</w:t>
      </w:r>
      <w:r w:rsidR="00A353DF" w:rsidRPr="00E26EEF">
        <w:rPr>
          <w:rFonts w:ascii="Century Gothic" w:hAnsi="Century Gothic" w:cstheme="minorBidi"/>
          <w:color w:val="auto"/>
          <w:sz w:val="22"/>
          <w:szCs w:val="22"/>
        </w:rPr>
        <w:t xml:space="preserve"> </w:t>
      </w:r>
      <w:r w:rsidR="007B5B39" w:rsidRPr="00E26EEF">
        <w:rPr>
          <w:rFonts w:ascii="Century Gothic" w:hAnsi="Century Gothic" w:cstheme="minorBidi"/>
          <w:color w:val="auto"/>
          <w:sz w:val="22"/>
          <w:szCs w:val="22"/>
        </w:rPr>
        <w:t xml:space="preserve">le matériel </w:t>
      </w:r>
      <w:r>
        <w:rPr>
          <w:rFonts w:ascii="Century Gothic" w:hAnsi="Century Gothic" w:cstheme="minorBidi"/>
          <w:color w:val="auto"/>
          <w:sz w:val="22"/>
          <w:szCs w:val="22"/>
        </w:rPr>
        <w:t xml:space="preserve">d’occasion </w:t>
      </w:r>
      <w:r w:rsidRPr="00E26EEF">
        <w:rPr>
          <w:rFonts w:ascii="Century Gothic" w:hAnsi="Century Gothic" w:cstheme="minorBidi"/>
          <w:color w:val="auto"/>
          <w:sz w:val="22"/>
          <w:szCs w:val="22"/>
        </w:rPr>
        <w:t>et</w:t>
      </w:r>
      <w:r w:rsidR="007B5B39" w:rsidRPr="00E26EEF">
        <w:rPr>
          <w:rFonts w:ascii="Century Gothic" w:hAnsi="Century Gothic" w:cstheme="minorBidi"/>
          <w:color w:val="auto"/>
          <w:sz w:val="22"/>
          <w:szCs w:val="22"/>
        </w:rPr>
        <w:t xml:space="preserve"> le matériel</w:t>
      </w:r>
      <w:r>
        <w:rPr>
          <w:rFonts w:ascii="Century Gothic" w:hAnsi="Century Gothic" w:cstheme="minorBidi"/>
          <w:color w:val="auto"/>
          <w:sz w:val="22"/>
          <w:szCs w:val="22"/>
        </w:rPr>
        <w:t xml:space="preserve"> reconditionné (sous conditions</w:t>
      </w:r>
      <w:r w:rsidR="00C22D1F">
        <w:rPr>
          <w:rFonts w:ascii="Century Gothic" w:hAnsi="Century Gothic" w:cstheme="minorBidi"/>
          <w:color w:val="auto"/>
          <w:sz w:val="22"/>
          <w:szCs w:val="22"/>
        </w:rPr>
        <w:t xml:space="preserve"> présentées ci-après) ; </w:t>
      </w:r>
    </w:p>
    <w:p w14:paraId="63116970" w14:textId="50341328" w:rsidR="009E446A" w:rsidRPr="009602E9" w:rsidRDefault="00077197" w:rsidP="00CE2B17">
      <w:pPr>
        <w:pStyle w:val="Default"/>
        <w:numPr>
          <w:ilvl w:val="0"/>
          <w:numId w:val="22"/>
        </w:numPr>
        <w:spacing w:after="34"/>
        <w:jc w:val="both"/>
        <w:rPr>
          <w:rFonts w:ascii="Century Gothic" w:hAnsi="Century Gothic" w:cstheme="minorBidi"/>
          <w:sz w:val="22"/>
          <w:szCs w:val="22"/>
          <w:u w:val="single"/>
        </w:rPr>
      </w:pPr>
      <w:r w:rsidRPr="00EC1C31">
        <w:rPr>
          <w:rFonts w:ascii="Century Gothic" w:hAnsi="Century Gothic" w:cstheme="minorBidi"/>
          <w:color w:val="auto"/>
          <w:sz w:val="22"/>
          <w:szCs w:val="22"/>
        </w:rPr>
        <w:t>Les</w:t>
      </w:r>
      <w:r w:rsidR="007B5B39" w:rsidRPr="00EC1C31">
        <w:rPr>
          <w:rFonts w:ascii="Century Gothic" w:hAnsi="Century Gothic" w:cstheme="minorBidi"/>
          <w:color w:val="auto"/>
          <w:sz w:val="22"/>
          <w:szCs w:val="22"/>
        </w:rPr>
        <w:t xml:space="preserve"> dépenses immatérielles directement lié</w:t>
      </w:r>
      <w:r w:rsidR="0040686B">
        <w:rPr>
          <w:rFonts w:ascii="Century Gothic" w:hAnsi="Century Gothic" w:cstheme="minorBidi"/>
          <w:color w:val="auto"/>
          <w:sz w:val="22"/>
          <w:szCs w:val="22"/>
        </w:rPr>
        <w:t>e</w:t>
      </w:r>
      <w:r w:rsidR="007B5B39" w:rsidRPr="00EC1C31">
        <w:rPr>
          <w:rFonts w:ascii="Century Gothic" w:hAnsi="Century Gothic" w:cstheme="minorBidi"/>
          <w:color w:val="auto"/>
          <w:sz w:val="22"/>
          <w:szCs w:val="22"/>
        </w:rPr>
        <w:t xml:space="preserve">s à l’investissement matériel et nécessaires à sa </w:t>
      </w:r>
      <w:r w:rsidR="009E446A" w:rsidRPr="00EC1C31">
        <w:rPr>
          <w:rFonts w:ascii="Century Gothic" w:hAnsi="Century Gothic" w:cstheme="minorBidi"/>
          <w:color w:val="auto"/>
          <w:sz w:val="22"/>
          <w:szCs w:val="22"/>
        </w:rPr>
        <w:t>préparation ou à sa réalisation</w:t>
      </w:r>
      <w:r w:rsidR="007B5B39" w:rsidRPr="00EC1C31">
        <w:rPr>
          <w:rFonts w:ascii="Century Gothic" w:hAnsi="Century Gothic" w:cstheme="minorBidi"/>
          <w:color w:val="auto"/>
          <w:sz w:val="22"/>
          <w:szCs w:val="22"/>
        </w:rPr>
        <w:t xml:space="preserve"> et les dépenses de communication et de promotion liées à la publicité sur le lieu de vente</w:t>
      </w:r>
      <w:r w:rsidR="00A353DF">
        <w:rPr>
          <w:rFonts w:ascii="Century Gothic" w:hAnsi="Century Gothic" w:cstheme="minorBidi"/>
          <w:color w:val="auto"/>
          <w:sz w:val="22"/>
          <w:szCs w:val="22"/>
        </w:rPr>
        <w:t>,</w:t>
      </w:r>
      <w:r w:rsidR="007B5B39" w:rsidRPr="00EC1C31">
        <w:rPr>
          <w:rFonts w:ascii="Century Gothic" w:hAnsi="Century Gothic" w:cstheme="minorBidi"/>
          <w:color w:val="auto"/>
          <w:sz w:val="22"/>
          <w:szCs w:val="22"/>
        </w:rPr>
        <w:t xml:space="preserve"> dans la limite </w:t>
      </w:r>
      <w:r w:rsidR="00C22D1F">
        <w:rPr>
          <w:rFonts w:ascii="Century Gothic" w:hAnsi="Century Gothic" w:cstheme="minorBidi"/>
          <w:color w:val="auto"/>
          <w:sz w:val="22"/>
          <w:szCs w:val="22"/>
        </w:rPr>
        <w:t xml:space="preserve">de </w:t>
      </w:r>
      <w:r w:rsidR="009E446A" w:rsidRPr="00EC1C31">
        <w:rPr>
          <w:rFonts w:ascii="Century Gothic" w:hAnsi="Century Gothic" w:cstheme="minorBidi"/>
          <w:color w:val="auto"/>
          <w:sz w:val="22"/>
          <w:szCs w:val="22"/>
        </w:rPr>
        <w:t xml:space="preserve">10% des investissements </w:t>
      </w:r>
      <w:r w:rsidR="00A353DF" w:rsidRPr="00EC1C31">
        <w:rPr>
          <w:rFonts w:ascii="Century Gothic" w:hAnsi="Century Gothic" w:cstheme="minorBidi"/>
          <w:color w:val="auto"/>
          <w:sz w:val="22"/>
          <w:szCs w:val="22"/>
        </w:rPr>
        <w:t>directement</w:t>
      </w:r>
      <w:r w:rsidR="009E446A" w:rsidRPr="00EC1C31">
        <w:rPr>
          <w:rFonts w:ascii="Century Gothic" w:hAnsi="Century Gothic" w:cstheme="minorBidi"/>
          <w:color w:val="auto"/>
          <w:sz w:val="22"/>
          <w:szCs w:val="22"/>
        </w:rPr>
        <w:t xml:space="preserve"> liés au projet.</w:t>
      </w:r>
    </w:p>
    <w:p w14:paraId="1BE51FB6" w14:textId="31D86686" w:rsidR="009602E9" w:rsidRDefault="009602E9" w:rsidP="009602E9">
      <w:pPr>
        <w:pStyle w:val="Default"/>
        <w:numPr>
          <w:ilvl w:val="0"/>
          <w:numId w:val="22"/>
        </w:numPr>
        <w:spacing w:after="34"/>
        <w:jc w:val="both"/>
        <w:rPr>
          <w:rFonts w:ascii="Century Gothic" w:hAnsi="Century Gothic" w:cstheme="minorBidi"/>
          <w:color w:val="auto"/>
          <w:sz w:val="22"/>
          <w:szCs w:val="22"/>
        </w:rPr>
      </w:pPr>
      <w:r w:rsidRPr="009602E9">
        <w:rPr>
          <w:rFonts w:ascii="Century Gothic" w:hAnsi="Century Gothic" w:cstheme="minorBidi"/>
          <w:color w:val="auto"/>
          <w:sz w:val="22"/>
          <w:szCs w:val="22"/>
        </w:rPr>
        <w:t>Investissements liés à la construction</w:t>
      </w:r>
    </w:p>
    <w:p w14:paraId="59BE0AB2" w14:textId="77777777" w:rsidR="009602E9" w:rsidRPr="000522D4" w:rsidRDefault="009602E9" w:rsidP="009602E9">
      <w:pPr>
        <w:pStyle w:val="Default"/>
        <w:spacing w:after="53"/>
        <w:rPr>
          <w:rFonts w:ascii="Century Gothic" w:hAnsi="Century Gothic" w:cstheme="minorBidi"/>
          <w:color w:val="auto"/>
          <w:sz w:val="22"/>
          <w:szCs w:val="22"/>
        </w:rPr>
      </w:pPr>
      <w:r w:rsidRPr="000522D4">
        <w:rPr>
          <w:rFonts w:ascii="Century Gothic" w:hAnsi="Century Gothic" w:cstheme="minorBidi"/>
          <w:color w:val="auto"/>
          <w:sz w:val="22"/>
          <w:szCs w:val="22"/>
        </w:rPr>
        <w:t>Voir en Annexe la liste des dépenses éligibles</w:t>
      </w:r>
    </w:p>
    <w:p w14:paraId="4C49C470" w14:textId="77777777" w:rsidR="004B760D" w:rsidRDefault="004B760D" w:rsidP="00077197">
      <w:pPr>
        <w:pStyle w:val="Default"/>
        <w:spacing w:after="53"/>
        <w:jc w:val="both"/>
        <w:rPr>
          <w:rFonts w:ascii="Century Gothic" w:hAnsi="Century Gothic" w:cstheme="minorBidi"/>
          <w:color w:val="auto"/>
          <w:sz w:val="22"/>
          <w:szCs w:val="22"/>
        </w:rPr>
      </w:pPr>
    </w:p>
    <w:p w14:paraId="6327FFBD" w14:textId="4A34889C" w:rsidR="0040686B" w:rsidRDefault="004B760D" w:rsidP="0040686B">
      <w:pPr>
        <w:pStyle w:val="Default"/>
        <w:spacing w:after="53"/>
        <w:jc w:val="both"/>
        <w:rPr>
          <w:rFonts w:ascii="Century Gothic" w:hAnsi="Century Gothic" w:cstheme="minorBidi"/>
          <w:color w:val="auto"/>
          <w:sz w:val="22"/>
          <w:szCs w:val="22"/>
        </w:rPr>
      </w:pPr>
      <w:r>
        <w:rPr>
          <w:rFonts w:ascii="Century Gothic" w:hAnsi="Century Gothic" w:cstheme="minorBidi"/>
          <w:color w:val="auto"/>
          <w:sz w:val="22"/>
          <w:szCs w:val="22"/>
        </w:rPr>
        <w:t>Les c</w:t>
      </w:r>
      <w:r w:rsidR="00077197">
        <w:rPr>
          <w:rFonts w:ascii="Century Gothic" w:hAnsi="Century Gothic" w:cstheme="minorBidi"/>
          <w:color w:val="auto"/>
          <w:sz w:val="22"/>
          <w:szCs w:val="22"/>
        </w:rPr>
        <w:t xml:space="preserve">onditions </w:t>
      </w:r>
      <w:r w:rsidR="00C22D1F">
        <w:rPr>
          <w:rFonts w:ascii="Century Gothic" w:hAnsi="Century Gothic" w:cstheme="minorBidi"/>
          <w:color w:val="auto"/>
          <w:sz w:val="22"/>
          <w:szCs w:val="22"/>
        </w:rPr>
        <w:t xml:space="preserve">d’éligibilité </w:t>
      </w:r>
      <w:r w:rsidR="00CE1901">
        <w:rPr>
          <w:rFonts w:ascii="Century Gothic" w:hAnsi="Century Gothic" w:cstheme="minorBidi"/>
          <w:color w:val="auto"/>
          <w:sz w:val="22"/>
          <w:szCs w:val="22"/>
        </w:rPr>
        <w:t xml:space="preserve">propres au </w:t>
      </w:r>
      <w:r w:rsidR="00077197" w:rsidRPr="00E26EEF">
        <w:rPr>
          <w:rFonts w:ascii="Century Gothic" w:hAnsi="Century Gothic" w:cstheme="minorBidi"/>
          <w:color w:val="auto"/>
          <w:sz w:val="22"/>
          <w:szCs w:val="22"/>
        </w:rPr>
        <w:t>matériel d’occasion</w:t>
      </w:r>
      <w:r w:rsidR="00077197">
        <w:rPr>
          <w:rFonts w:ascii="Century Gothic" w:hAnsi="Century Gothic" w:cstheme="minorBidi"/>
          <w:color w:val="auto"/>
          <w:sz w:val="22"/>
          <w:szCs w:val="22"/>
        </w:rPr>
        <w:t xml:space="preserve"> </w:t>
      </w:r>
      <w:r w:rsidR="00C22D1F">
        <w:rPr>
          <w:rFonts w:ascii="Century Gothic" w:hAnsi="Century Gothic" w:cstheme="minorBidi"/>
          <w:color w:val="auto"/>
          <w:sz w:val="22"/>
          <w:szCs w:val="22"/>
        </w:rPr>
        <w:t xml:space="preserve">sont les suivantes </w:t>
      </w:r>
      <w:r w:rsidR="00077197" w:rsidRPr="00E26EEF">
        <w:rPr>
          <w:rFonts w:ascii="Century Gothic" w:hAnsi="Century Gothic" w:cstheme="minorBidi"/>
          <w:color w:val="auto"/>
          <w:sz w:val="22"/>
          <w:szCs w:val="22"/>
        </w:rPr>
        <w:t xml:space="preserve">: </w:t>
      </w:r>
    </w:p>
    <w:p w14:paraId="43C5765C" w14:textId="5C69A61B" w:rsidR="00B01BB3" w:rsidRPr="0040686B" w:rsidRDefault="00077197" w:rsidP="00B10DFA">
      <w:pPr>
        <w:pStyle w:val="Default"/>
        <w:numPr>
          <w:ilvl w:val="0"/>
          <w:numId w:val="15"/>
        </w:numPr>
        <w:spacing w:after="53"/>
        <w:ind w:left="709"/>
        <w:jc w:val="both"/>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Le matériel doit avoir moins de 10 ans ; </w:t>
      </w:r>
    </w:p>
    <w:p w14:paraId="60BA9CE6" w14:textId="07C04A06" w:rsidR="004E1CE9" w:rsidRPr="00E26EEF" w:rsidRDefault="00077197" w:rsidP="00B10DFA">
      <w:pPr>
        <w:pStyle w:val="Default"/>
        <w:numPr>
          <w:ilvl w:val="0"/>
          <w:numId w:val="15"/>
        </w:numPr>
        <w:spacing w:after="53"/>
        <w:ind w:left="709"/>
        <w:jc w:val="both"/>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Le vendeur du matériel doit l‘avoir acquis neuf. Lorsqu'il y a un intermédiaire concessionnaire professionnel, celui-ci doit avoir acheté ce matériel auprès d'un vendeur qui l'avait acquis neuf ;  </w:t>
      </w:r>
    </w:p>
    <w:p w14:paraId="597A415B" w14:textId="3C979FE6" w:rsidR="00077197" w:rsidRPr="00E26EEF" w:rsidRDefault="00F33795" w:rsidP="00F33795">
      <w:pPr>
        <w:pStyle w:val="Default"/>
        <w:numPr>
          <w:ilvl w:val="0"/>
          <w:numId w:val="15"/>
        </w:numPr>
        <w:spacing w:after="53"/>
        <w:ind w:left="709"/>
        <w:jc w:val="both"/>
        <w:rPr>
          <w:rFonts w:ascii="Century Gothic" w:hAnsi="Century Gothic" w:cstheme="minorBidi"/>
          <w:color w:val="auto"/>
          <w:sz w:val="22"/>
          <w:szCs w:val="22"/>
        </w:rPr>
      </w:pPr>
      <w:r>
        <w:rPr>
          <w:rFonts w:ascii="Century Gothic" w:hAnsi="Century Gothic" w:cstheme="minorBidi"/>
          <w:color w:val="auto"/>
          <w:sz w:val="22"/>
          <w:szCs w:val="22"/>
        </w:rPr>
        <w:t>Le vendeur doit</w:t>
      </w:r>
      <w:r w:rsidRPr="00E26EEF">
        <w:rPr>
          <w:rFonts w:ascii="Century Gothic" w:hAnsi="Century Gothic" w:cstheme="minorBidi"/>
          <w:color w:val="auto"/>
          <w:sz w:val="22"/>
          <w:szCs w:val="22"/>
        </w:rPr>
        <w:t xml:space="preserve"> </w:t>
      </w:r>
      <w:r w:rsidR="00077197" w:rsidRPr="00E26EEF">
        <w:rPr>
          <w:rFonts w:ascii="Century Gothic" w:hAnsi="Century Gothic" w:cstheme="minorBidi"/>
          <w:color w:val="auto"/>
          <w:sz w:val="22"/>
          <w:szCs w:val="22"/>
        </w:rPr>
        <w:t>fourni</w:t>
      </w:r>
      <w:r>
        <w:rPr>
          <w:rFonts w:ascii="Century Gothic" w:hAnsi="Century Gothic" w:cstheme="minorBidi"/>
          <w:color w:val="auto"/>
          <w:sz w:val="22"/>
          <w:szCs w:val="22"/>
        </w:rPr>
        <w:t>r</w:t>
      </w:r>
      <w:r w:rsidR="00077197" w:rsidRPr="00E26EEF">
        <w:rPr>
          <w:rFonts w:ascii="Century Gothic" w:hAnsi="Century Gothic" w:cstheme="minorBidi"/>
          <w:color w:val="auto"/>
          <w:sz w:val="22"/>
          <w:szCs w:val="22"/>
        </w:rPr>
        <w:t xml:space="preserve"> une déclaration sur l'honneur, datée et signée, indiquant l'origine exacte du matériel et accompagnée de la copie de la facture initiale de l'achat dudit matériel et confirmant que le bien n'a pas été acquis au moyen d'une aide publique au cours des cinq dernières années (si le bien a déjà fait l'objet d'une aide publique, ce délai s'apprécie entre la date de la décision d'octroi d'aide du primo acquéreur et la date de réservation du bien matérialisé</w:t>
      </w:r>
      <w:r w:rsidR="00B01BB3">
        <w:rPr>
          <w:rFonts w:ascii="Century Gothic" w:hAnsi="Century Gothic" w:cstheme="minorBidi"/>
          <w:color w:val="auto"/>
          <w:sz w:val="22"/>
          <w:szCs w:val="22"/>
        </w:rPr>
        <w:t>e</w:t>
      </w:r>
      <w:r w:rsidR="00077197" w:rsidRPr="00E26EEF">
        <w:rPr>
          <w:rFonts w:ascii="Century Gothic" w:hAnsi="Century Gothic" w:cstheme="minorBidi"/>
          <w:color w:val="auto"/>
          <w:sz w:val="22"/>
          <w:szCs w:val="22"/>
        </w:rPr>
        <w:t xml:space="preserve"> par un bon de commande, un devis signé, un paiement d'acompte ou à défaut par une facture). Le concessionnaire professionnel devra faire le nécessaire auprès du propriétaire initial afin d'obtenir cette déclaration sur l‘honneur ; </w:t>
      </w:r>
    </w:p>
    <w:p w14:paraId="422A1AA6" w14:textId="5DB0B77B" w:rsidR="00077197" w:rsidRPr="00E26EEF" w:rsidRDefault="00077197" w:rsidP="00F33795">
      <w:pPr>
        <w:pStyle w:val="Default"/>
        <w:numPr>
          <w:ilvl w:val="0"/>
          <w:numId w:val="15"/>
        </w:numPr>
        <w:spacing w:after="53"/>
        <w:ind w:left="709"/>
        <w:jc w:val="both"/>
        <w:rPr>
          <w:rFonts w:ascii="Century Gothic" w:hAnsi="Century Gothic" w:cstheme="minorBidi"/>
          <w:color w:val="auto"/>
          <w:sz w:val="22"/>
          <w:szCs w:val="22"/>
        </w:rPr>
      </w:pPr>
      <w:r w:rsidRPr="00E26EEF">
        <w:rPr>
          <w:rFonts w:ascii="Century Gothic" w:hAnsi="Century Gothic" w:cstheme="minorBidi"/>
          <w:color w:val="auto"/>
          <w:sz w:val="22"/>
          <w:szCs w:val="22"/>
        </w:rPr>
        <w:t>A sa date d'achat, le prix du matériel d'occasion ne doit pas excéder sa valeur sur le marché et doit être inférieur au coût de matériel</w:t>
      </w:r>
      <w:r w:rsidR="00F33795">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similaire</w:t>
      </w:r>
      <w:r w:rsidR="00F33795">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à l'état neuf (condition vérifiée par la fourniture d'une ou plusieurs pièce(s) </w:t>
      </w:r>
      <w:r w:rsidR="000D4A74">
        <w:rPr>
          <w:rFonts w:ascii="Century Gothic" w:hAnsi="Century Gothic" w:cstheme="minorBidi"/>
          <w:color w:val="auto"/>
          <w:sz w:val="22"/>
          <w:szCs w:val="22"/>
        </w:rPr>
        <w:t>indiquant le prix</w:t>
      </w:r>
      <w:r w:rsidRPr="00E26EEF">
        <w:rPr>
          <w:rFonts w:ascii="Century Gothic" w:hAnsi="Century Gothic" w:cstheme="minorBidi"/>
          <w:color w:val="auto"/>
          <w:sz w:val="22"/>
          <w:szCs w:val="22"/>
        </w:rPr>
        <w:t xml:space="preserve"> de matériel équivalent neuf</w:t>
      </w:r>
      <w:r w:rsidR="000D4A74">
        <w:rPr>
          <w:rFonts w:ascii="Century Gothic" w:hAnsi="Century Gothic" w:cstheme="minorBidi"/>
          <w:color w:val="auto"/>
          <w:sz w:val="22"/>
          <w:szCs w:val="22"/>
        </w:rPr>
        <w:t xml:space="preserve">) </w:t>
      </w:r>
      <w:r w:rsidRPr="00E26EEF">
        <w:rPr>
          <w:rFonts w:ascii="Century Gothic" w:hAnsi="Century Gothic" w:cstheme="minorBidi"/>
          <w:color w:val="auto"/>
          <w:sz w:val="22"/>
          <w:szCs w:val="22"/>
        </w:rPr>
        <w:t xml:space="preserve">; </w:t>
      </w:r>
    </w:p>
    <w:p w14:paraId="644D1CEE" w14:textId="31BC9FD1" w:rsidR="00077197" w:rsidRPr="00E26EEF" w:rsidRDefault="00077197" w:rsidP="00F33795">
      <w:pPr>
        <w:pStyle w:val="Default"/>
        <w:numPr>
          <w:ilvl w:val="0"/>
          <w:numId w:val="15"/>
        </w:numPr>
        <w:spacing w:after="53"/>
        <w:ind w:left="709"/>
        <w:jc w:val="both"/>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La revente de matériel entre sociétés ou entreprises individuelles composées des mêmes personnes physiques n'est pas autorisée. </w:t>
      </w:r>
    </w:p>
    <w:p w14:paraId="7D5BD35D" w14:textId="77777777" w:rsidR="00077197" w:rsidRPr="00E26EEF" w:rsidRDefault="00077197" w:rsidP="00077197">
      <w:pPr>
        <w:autoSpaceDE w:val="0"/>
        <w:autoSpaceDN w:val="0"/>
        <w:adjustRightInd w:val="0"/>
        <w:spacing w:after="0" w:line="240" w:lineRule="auto"/>
        <w:rPr>
          <w:rFonts w:ascii="Century Gothic" w:hAnsi="Century Gothic"/>
        </w:rPr>
      </w:pPr>
    </w:p>
    <w:p w14:paraId="46C88F1F" w14:textId="5F7BC9E4" w:rsidR="00077197" w:rsidRPr="00E26EEF" w:rsidRDefault="00C22D1F" w:rsidP="00077197">
      <w:pPr>
        <w:numPr>
          <w:ilvl w:val="1"/>
          <w:numId w:val="16"/>
        </w:numPr>
        <w:autoSpaceDE w:val="0"/>
        <w:autoSpaceDN w:val="0"/>
        <w:adjustRightInd w:val="0"/>
        <w:spacing w:after="0" w:line="240" w:lineRule="auto"/>
        <w:rPr>
          <w:rFonts w:ascii="Century Gothic" w:hAnsi="Century Gothic"/>
        </w:rPr>
      </w:pPr>
      <w:r>
        <w:rPr>
          <w:rFonts w:ascii="Century Gothic" w:hAnsi="Century Gothic"/>
        </w:rPr>
        <w:t>Les c</w:t>
      </w:r>
      <w:r w:rsidR="00077197">
        <w:rPr>
          <w:rFonts w:ascii="Century Gothic" w:hAnsi="Century Gothic"/>
        </w:rPr>
        <w:t>ondition</w:t>
      </w:r>
      <w:r>
        <w:rPr>
          <w:rFonts w:ascii="Century Gothic" w:hAnsi="Century Gothic"/>
        </w:rPr>
        <w:t>s d’éligibilité</w:t>
      </w:r>
      <w:r w:rsidR="00077197">
        <w:rPr>
          <w:rFonts w:ascii="Century Gothic" w:hAnsi="Century Gothic"/>
        </w:rPr>
        <w:t xml:space="preserve"> p</w:t>
      </w:r>
      <w:r w:rsidR="00CE1901">
        <w:rPr>
          <w:rFonts w:ascii="Century Gothic" w:hAnsi="Century Gothic"/>
        </w:rPr>
        <w:t>ropres au</w:t>
      </w:r>
      <w:r w:rsidR="00077197" w:rsidRPr="00E26EEF">
        <w:rPr>
          <w:rFonts w:ascii="Century Gothic" w:hAnsi="Century Gothic"/>
        </w:rPr>
        <w:t xml:space="preserve"> matériel reconditionné</w:t>
      </w:r>
      <w:r w:rsidR="00077197" w:rsidRPr="006A7EE6">
        <w:rPr>
          <w:vertAlign w:val="superscript"/>
        </w:rPr>
        <w:footnoteReference w:id="4"/>
      </w:r>
      <w:r w:rsidR="00077197" w:rsidRPr="00E26EEF">
        <w:rPr>
          <w:rFonts w:ascii="Century Gothic" w:hAnsi="Century Gothic"/>
        </w:rPr>
        <w:t xml:space="preserve"> </w:t>
      </w:r>
      <w:r>
        <w:rPr>
          <w:rFonts w:ascii="Century Gothic" w:hAnsi="Century Gothic"/>
        </w:rPr>
        <w:t xml:space="preserve">sont les suivantes </w:t>
      </w:r>
      <w:r w:rsidR="00077197" w:rsidRPr="00E26EEF">
        <w:rPr>
          <w:rFonts w:ascii="Century Gothic" w:hAnsi="Century Gothic"/>
        </w:rPr>
        <w:t xml:space="preserve">: </w:t>
      </w:r>
    </w:p>
    <w:p w14:paraId="2191CC10" w14:textId="77777777" w:rsidR="000522D4" w:rsidRDefault="00E61719" w:rsidP="000522D4">
      <w:pPr>
        <w:pStyle w:val="Default"/>
        <w:numPr>
          <w:ilvl w:val="0"/>
          <w:numId w:val="15"/>
        </w:numPr>
        <w:spacing w:after="53"/>
        <w:ind w:left="709"/>
        <w:rPr>
          <w:rFonts w:ascii="Century Gothic" w:hAnsi="Century Gothic" w:cstheme="minorBidi"/>
          <w:color w:val="auto"/>
          <w:sz w:val="22"/>
          <w:szCs w:val="22"/>
        </w:rPr>
      </w:pPr>
      <w:r>
        <w:rPr>
          <w:rFonts w:ascii="Century Gothic" w:hAnsi="Century Gothic" w:cstheme="minorBidi"/>
          <w:color w:val="auto"/>
          <w:sz w:val="22"/>
          <w:szCs w:val="22"/>
        </w:rPr>
        <w:t>Le bénéficiaire doit fournir une a</w:t>
      </w:r>
      <w:r w:rsidR="00077197" w:rsidRPr="00E26EEF">
        <w:rPr>
          <w:rFonts w:ascii="Century Gothic" w:hAnsi="Century Gothic" w:cstheme="minorBidi"/>
          <w:color w:val="auto"/>
          <w:sz w:val="22"/>
          <w:szCs w:val="22"/>
        </w:rPr>
        <w:t>ttestation du vendeur précisant que le matériel a fait l'objet d'une vérification complète permettant de s'assurer de leur sécurité et de leur bon fonctionnement, avec le cas échéant une intervention techniqu</w:t>
      </w:r>
      <w:r w:rsidR="004B760D">
        <w:rPr>
          <w:rFonts w:ascii="Century Gothic" w:hAnsi="Century Gothic" w:cstheme="minorBidi"/>
          <w:color w:val="auto"/>
          <w:sz w:val="22"/>
          <w:szCs w:val="22"/>
        </w:rPr>
        <w:t>e visant à sa remise en état.</w:t>
      </w:r>
    </w:p>
    <w:p w14:paraId="2AE7859F" w14:textId="0EFDE4E7" w:rsidR="000522D4" w:rsidRDefault="000522D4" w:rsidP="009E446A">
      <w:pPr>
        <w:pStyle w:val="Default"/>
        <w:jc w:val="both"/>
        <w:rPr>
          <w:rFonts w:ascii="Century Gothic" w:hAnsi="Century Gothic" w:cstheme="minorBidi"/>
          <w:sz w:val="22"/>
          <w:szCs w:val="22"/>
          <w:u w:val="single"/>
        </w:rPr>
      </w:pPr>
    </w:p>
    <w:p w14:paraId="3D4337FA" w14:textId="77777777" w:rsidR="000522D4" w:rsidRDefault="000522D4" w:rsidP="009E446A">
      <w:pPr>
        <w:pStyle w:val="Default"/>
        <w:jc w:val="both"/>
        <w:rPr>
          <w:rFonts w:ascii="Century Gothic" w:hAnsi="Century Gothic" w:cstheme="minorBidi"/>
          <w:sz w:val="22"/>
          <w:szCs w:val="22"/>
          <w:u w:val="single"/>
        </w:rPr>
      </w:pPr>
    </w:p>
    <w:p w14:paraId="528E387B" w14:textId="51F030ED" w:rsidR="007B5B39" w:rsidRPr="00E26EEF" w:rsidRDefault="007B5B39" w:rsidP="009E446A">
      <w:pPr>
        <w:pStyle w:val="Default"/>
        <w:jc w:val="both"/>
        <w:rPr>
          <w:rFonts w:ascii="Century Gothic" w:hAnsi="Century Gothic" w:cstheme="minorBidi"/>
          <w:sz w:val="22"/>
          <w:szCs w:val="22"/>
          <w:u w:val="single"/>
        </w:rPr>
      </w:pPr>
      <w:r w:rsidRPr="00E26EEF">
        <w:rPr>
          <w:rFonts w:ascii="Century Gothic" w:hAnsi="Century Gothic" w:cstheme="minorBidi"/>
          <w:sz w:val="22"/>
          <w:szCs w:val="22"/>
          <w:u w:val="single"/>
        </w:rPr>
        <w:t>Dépenses inéligibles</w:t>
      </w:r>
    </w:p>
    <w:p w14:paraId="46C21516" w14:textId="77777777" w:rsidR="006D6260" w:rsidRPr="00E26EEF" w:rsidRDefault="006D6260" w:rsidP="007B5B39">
      <w:pPr>
        <w:pStyle w:val="Default"/>
        <w:rPr>
          <w:rFonts w:ascii="Century Gothic" w:hAnsi="Century Gothic" w:cstheme="minorBidi"/>
          <w:color w:val="auto"/>
          <w:sz w:val="22"/>
          <w:szCs w:val="22"/>
        </w:rPr>
      </w:pPr>
    </w:p>
    <w:p w14:paraId="2A84374F" w14:textId="714E44B9" w:rsidR="007B5B39" w:rsidRPr="00E26EEF" w:rsidRDefault="00B44052">
      <w:pPr>
        <w:pStyle w:val="Default"/>
        <w:rPr>
          <w:rFonts w:ascii="Century Gothic" w:hAnsi="Century Gothic" w:cstheme="minorBidi"/>
          <w:color w:val="auto"/>
          <w:sz w:val="22"/>
          <w:szCs w:val="22"/>
        </w:rPr>
      </w:pPr>
      <w:r>
        <w:rPr>
          <w:rFonts w:ascii="Century Gothic" w:hAnsi="Century Gothic" w:cstheme="minorBidi"/>
          <w:color w:val="auto"/>
          <w:sz w:val="22"/>
          <w:szCs w:val="22"/>
        </w:rPr>
        <w:t xml:space="preserve">L’ensemble des dépenses non </w:t>
      </w:r>
      <w:r w:rsidR="00B01BB3">
        <w:rPr>
          <w:rFonts w:ascii="Century Gothic" w:hAnsi="Century Gothic" w:cstheme="minorBidi"/>
          <w:color w:val="auto"/>
          <w:sz w:val="22"/>
          <w:szCs w:val="22"/>
        </w:rPr>
        <w:t>listées</w:t>
      </w:r>
      <w:r>
        <w:rPr>
          <w:rFonts w:ascii="Century Gothic" w:hAnsi="Century Gothic" w:cstheme="minorBidi"/>
          <w:color w:val="auto"/>
          <w:sz w:val="22"/>
          <w:szCs w:val="22"/>
        </w:rPr>
        <w:t xml:space="preserve"> dans les « dépenses éligible</w:t>
      </w:r>
      <w:r w:rsidR="00C22D1F">
        <w:rPr>
          <w:rFonts w:ascii="Century Gothic" w:hAnsi="Century Gothic" w:cstheme="minorBidi"/>
          <w:color w:val="auto"/>
          <w:sz w:val="22"/>
          <w:szCs w:val="22"/>
        </w:rPr>
        <w:t>s</w:t>
      </w:r>
      <w:r>
        <w:rPr>
          <w:rFonts w:ascii="Century Gothic" w:hAnsi="Century Gothic" w:cstheme="minorBidi"/>
          <w:color w:val="auto"/>
          <w:sz w:val="22"/>
          <w:szCs w:val="22"/>
        </w:rPr>
        <w:t xml:space="preserve"> » à l’article </w:t>
      </w:r>
      <w:r w:rsidR="002A13A8">
        <w:rPr>
          <w:rFonts w:ascii="Century Gothic" w:hAnsi="Century Gothic" w:cstheme="minorBidi"/>
          <w:color w:val="auto"/>
          <w:sz w:val="22"/>
          <w:szCs w:val="22"/>
        </w:rPr>
        <w:t>4</w:t>
      </w:r>
      <w:r w:rsidR="00F33795">
        <w:rPr>
          <w:rFonts w:ascii="Century Gothic" w:hAnsi="Century Gothic" w:cstheme="minorBidi"/>
          <w:color w:val="auto"/>
          <w:sz w:val="22"/>
          <w:szCs w:val="22"/>
        </w:rPr>
        <w:t xml:space="preserve"> </w:t>
      </w:r>
      <w:r>
        <w:rPr>
          <w:rFonts w:ascii="Century Gothic" w:hAnsi="Century Gothic" w:cstheme="minorBidi"/>
          <w:color w:val="auto"/>
          <w:sz w:val="22"/>
          <w:szCs w:val="22"/>
        </w:rPr>
        <w:t>sont inéligibles</w:t>
      </w:r>
      <w:r w:rsidR="00F33795">
        <w:rPr>
          <w:rFonts w:ascii="Century Gothic" w:hAnsi="Century Gothic" w:cstheme="minorBidi"/>
          <w:color w:val="auto"/>
          <w:sz w:val="22"/>
          <w:szCs w:val="22"/>
        </w:rPr>
        <w:t xml:space="preserve">. On citera </w:t>
      </w:r>
      <w:r w:rsidR="00B01BB3">
        <w:rPr>
          <w:rFonts w:ascii="Century Gothic" w:hAnsi="Century Gothic" w:cstheme="minorBidi"/>
          <w:color w:val="auto"/>
          <w:sz w:val="22"/>
          <w:szCs w:val="22"/>
        </w:rPr>
        <w:t>pour</w:t>
      </w:r>
      <w:r>
        <w:rPr>
          <w:rFonts w:ascii="Century Gothic" w:hAnsi="Century Gothic" w:cstheme="minorBidi"/>
          <w:color w:val="auto"/>
          <w:sz w:val="22"/>
          <w:szCs w:val="22"/>
        </w:rPr>
        <w:t xml:space="preserve"> exemple</w:t>
      </w:r>
      <w:r w:rsidR="00B01BB3">
        <w:rPr>
          <w:rFonts w:ascii="Century Gothic" w:hAnsi="Century Gothic" w:cstheme="minorBidi"/>
          <w:color w:val="auto"/>
          <w:sz w:val="22"/>
          <w:szCs w:val="22"/>
        </w:rPr>
        <w:t>s</w:t>
      </w:r>
      <w:r w:rsidR="004B760D">
        <w:rPr>
          <w:rFonts w:ascii="Century Gothic" w:hAnsi="Century Gothic" w:cstheme="minorBidi"/>
          <w:color w:val="auto"/>
          <w:sz w:val="22"/>
          <w:szCs w:val="22"/>
        </w:rPr>
        <w:t xml:space="preserve"> (liste non exhaustive)</w:t>
      </w:r>
      <w:r>
        <w:rPr>
          <w:rFonts w:ascii="Century Gothic" w:hAnsi="Century Gothic" w:cstheme="minorBidi"/>
          <w:color w:val="auto"/>
          <w:sz w:val="22"/>
          <w:szCs w:val="22"/>
        </w:rPr>
        <w:t> :</w:t>
      </w:r>
      <w:r w:rsidR="007B5B39" w:rsidRPr="00E26EEF">
        <w:rPr>
          <w:rFonts w:ascii="Century Gothic" w:hAnsi="Century Gothic" w:cstheme="minorBidi"/>
          <w:color w:val="auto"/>
          <w:sz w:val="22"/>
          <w:szCs w:val="22"/>
        </w:rPr>
        <w:t xml:space="preserve"> </w:t>
      </w:r>
    </w:p>
    <w:p w14:paraId="2A8BF828" w14:textId="40101BA2" w:rsidR="007B5B39" w:rsidRPr="00E26EEF" w:rsidRDefault="004B760D" w:rsidP="002C1555">
      <w:pPr>
        <w:pStyle w:val="Default"/>
        <w:numPr>
          <w:ilvl w:val="0"/>
          <w:numId w:val="24"/>
        </w:numPr>
        <w:spacing w:after="34"/>
        <w:rPr>
          <w:rFonts w:ascii="Century Gothic" w:hAnsi="Century Gothic" w:cstheme="minorBidi"/>
          <w:color w:val="auto"/>
          <w:sz w:val="22"/>
          <w:szCs w:val="22"/>
        </w:rPr>
      </w:pPr>
      <w:r>
        <w:rPr>
          <w:rFonts w:ascii="Century Gothic" w:hAnsi="Century Gothic" w:cstheme="minorBidi"/>
          <w:color w:val="auto"/>
          <w:sz w:val="22"/>
          <w:szCs w:val="22"/>
        </w:rPr>
        <w:t>L</w:t>
      </w:r>
      <w:r w:rsidR="007B5B39" w:rsidRPr="00E26EEF">
        <w:rPr>
          <w:rFonts w:ascii="Century Gothic" w:hAnsi="Century Gothic" w:cstheme="minorBidi"/>
          <w:color w:val="auto"/>
          <w:sz w:val="22"/>
          <w:szCs w:val="22"/>
        </w:rPr>
        <w:t>es dépenses relatives à la filière viticole et à la filière pêche, aquaculture et saliculture (soutenues</w:t>
      </w:r>
      <w:r w:rsidR="00B44052">
        <w:rPr>
          <w:rFonts w:ascii="Century Gothic" w:hAnsi="Century Gothic" w:cstheme="minorBidi"/>
          <w:color w:val="auto"/>
          <w:sz w:val="22"/>
          <w:szCs w:val="22"/>
        </w:rPr>
        <w:t xml:space="preserve"> par d’autres fonds européens) ;</w:t>
      </w:r>
    </w:p>
    <w:p w14:paraId="56BBE62E" w14:textId="2A7C6BCD" w:rsidR="007B5B39" w:rsidRPr="004B760D" w:rsidRDefault="004B760D" w:rsidP="004B760D">
      <w:pPr>
        <w:pStyle w:val="Default"/>
        <w:numPr>
          <w:ilvl w:val="0"/>
          <w:numId w:val="24"/>
        </w:numPr>
        <w:spacing w:after="34"/>
        <w:rPr>
          <w:rFonts w:ascii="Century Gothic" w:hAnsi="Century Gothic" w:cstheme="minorBidi"/>
          <w:color w:val="auto"/>
          <w:sz w:val="22"/>
          <w:szCs w:val="22"/>
        </w:rPr>
      </w:pPr>
      <w:r>
        <w:rPr>
          <w:rFonts w:ascii="Century Gothic" w:hAnsi="Century Gothic" w:cstheme="minorBidi"/>
          <w:color w:val="auto"/>
          <w:sz w:val="22"/>
          <w:szCs w:val="22"/>
        </w:rPr>
        <w:t xml:space="preserve">Les dépenses non rattachées au </w:t>
      </w:r>
      <w:r w:rsidR="00024F0E">
        <w:rPr>
          <w:rFonts w:ascii="Century Gothic" w:hAnsi="Century Gothic" w:cstheme="minorBidi"/>
          <w:color w:val="auto"/>
          <w:sz w:val="22"/>
          <w:szCs w:val="22"/>
        </w:rPr>
        <w:t>projet :</w:t>
      </w:r>
      <w:r>
        <w:rPr>
          <w:rFonts w:ascii="Century Gothic" w:hAnsi="Century Gothic" w:cstheme="minorBidi"/>
          <w:color w:val="auto"/>
          <w:sz w:val="22"/>
          <w:szCs w:val="22"/>
        </w:rPr>
        <w:t xml:space="preserve"> </w:t>
      </w:r>
      <w:r w:rsidR="004C1A4A" w:rsidRPr="00E26EEF">
        <w:rPr>
          <w:rFonts w:ascii="Century Gothic" w:hAnsi="Century Gothic" w:cstheme="minorBidi"/>
          <w:color w:val="auto"/>
          <w:sz w:val="22"/>
          <w:szCs w:val="22"/>
        </w:rPr>
        <w:t>le stockage seul, la commercialisation seule, les dépenses de conditionnement ou de la</w:t>
      </w:r>
      <w:r w:rsidR="00B44052">
        <w:rPr>
          <w:rFonts w:ascii="Century Gothic" w:hAnsi="Century Gothic" w:cstheme="minorBidi"/>
          <w:color w:val="auto"/>
          <w:sz w:val="22"/>
          <w:szCs w:val="22"/>
        </w:rPr>
        <w:t>vage de fruits et légumes bruts ;</w:t>
      </w:r>
    </w:p>
    <w:p w14:paraId="017A4FC7" w14:textId="6B3072D8" w:rsidR="007B5B39" w:rsidRPr="00E26EEF" w:rsidRDefault="004B760D" w:rsidP="002C1555">
      <w:pPr>
        <w:pStyle w:val="Default"/>
        <w:numPr>
          <w:ilvl w:val="0"/>
          <w:numId w:val="24"/>
        </w:numPr>
        <w:spacing w:after="34"/>
        <w:rPr>
          <w:rFonts w:ascii="Century Gothic" w:hAnsi="Century Gothic" w:cstheme="minorBidi"/>
          <w:color w:val="auto"/>
          <w:sz w:val="22"/>
          <w:szCs w:val="22"/>
        </w:rPr>
      </w:pPr>
      <w:r>
        <w:rPr>
          <w:rFonts w:ascii="Century Gothic" w:hAnsi="Century Gothic" w:cstheme="minorBidi"/>
          <w:color w:val="auto"/>
          <w:sz w:val="22"/>
          <w:szCs w:val="22"/>
        </w:rPr>
        <w:t>L</w:t>
      </w:r>
      <w:r w:rsidR="007B5B39" w:rsidRPr="00E26EEF">
        <w:rPr>
          <w:rFonts w:ascii="Century Gothic" w:hAnsi="Century Gothic" w:cstheme="minorBidi"/>
          <w:color w:val="auto"/>
          <w:sz w:val="22"/>
          <w:szCs w:val="22"/>
        </w:rPr>
        <w:t>es dépens</w:t>
      </w:r>
      <w:r w:rsidR="00B44052">
        <w:rPr>
          <w:rFonts w:ascii="Century Gothic" w:hAnsi="Century Gothic" w:cstheme="minorBidi"/>
          <w:color w:val="auto"/>
          <w:sz w:val="22"/>
          <w:szCs w:val="22"/>
        </w:rPr>
        <w:t>es liées à l’auto-construction.</w:t>
      </w:r>
    </w:p>
    <w:p w14:paraId="4D3A0F43" w14:textId="7C35A45F" w:rsidR="004C1A4A" w:rsidRPr="00E26EEF" w:rsidRDefault="007B5B39" w:rsidP="00B44052">
      <w:pPr>
        <w:pStyle w:val="Default"/>
        <w:spacing w:after="34"/>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 </w:t>
      </w:r>
    </w:p>
    <w:p w14:paraId="29FF0215" w14:textId="24A9808C" w:rsidR="007B5B39" w:rsidRPr="00E26EEF" w:rsidRDefault="007B5B39" w:rsidP="00D3265B">
      <w:pPr>
        <w:pStyle w:val="Default"/>
        <w:rPr>
          <w:rFonts w:ascii="Century Gothic" w:hAnsi="Century Gothic" w:cstheme="minorBidi"/>
          <w:color w:val="auto"/>
          <w:sz w:val="22"/>
          <w:szCs w:val="22"/>
        </w:rPr>
      </w:pPr>
      <w:r w:rsidRPr="00E26EEF">
        <w:rPr>
          <w:rFonts w:ascii="Century Gothic" w:hAnsi="Century Gothic" w:cstheme="minorBidi"/>
          <w:color w:val="auto"/>
          <w:sz w:val="22"/>
          <w:szCs w:val="22"/>
          <w:u w:val="single"/>
        </w:rPr>
        <w:t>Calcul de l’aide</w:t>
      </w:r>
    </w:p>
    <w:p w14:paraId="5FC9EA81" w14:textId="252BBE97" w:rsidR="006A6F91" w:rsidRPr="00E26EEF" w:rsidRDefault="006A6F91" w:rsidP="007B5B39">
      <w:pPr>
        <w:pStyle w:val="Default"/>
        <w:ind w:firstLine="708"/>
        <w:rPr>
          <w:rFonts w:ascii="Century Gothic" w:hAnsi="Century Gothic" w:cstheme="minorBidi"/>
          <w:color w:val="auto"/>
          <w:sz w:val="22"/>
          <w:szCs w:val="22"/>
        </w:rPr>
      </w:pPr>
    </w:p>
    <w:p w14:paraId="43A0AB19" w14:textId="322084D8" w:rsidR="00E61719" w:rsidRDefault="006A6F91" w:rsidP="006A6F91">
      <w:pPr>
        <w:pStyle w:val="Default"/>
        <w:rPr>
          <w:rFonts w:ascii="Century Gothic" w:hAnsi="Century Gothic" w:cstheme="minorBidi"/>
          <w:color w:val="auto"/>
          <w:sz w:val="22"/>
          <w:szCs w:val="22"/>
        </w:rPr>
      </w:pPr>
      <w:r w:rsidRPr="00E26EEF">
        <w:rPr>
          <w:rFonts w:ascii="Century Gothic" w:hAnsi="Century Gothic" w:cstheme="minorBidi"/>
          <w:color w:val="auto"/>
          <w:sz w:val="22"/>
          <w:szCs w:val="22"/>
        </w:rPr>
        <w:t>Le plancher de</w:t>
      </w:r>
      <w:r w:rsidR="00FD1A5E">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dépenses éligibles est fixé à </w:t>
      </w:r>
      <w:r w:rsidR="0026052A">
        <w:rPr>
          <w:rFonts w:ascii="Century Gothic" w:hAnsi="Century Gothic" w:cstheme="minorBidi"/>
          <w:color w:val="auto"/>
          <w:sz w:val="22"/>
          <w:szCs w:val="22"/>
        </w:rPr>
        <w:t>4</w:t>
      </w:r>
      <w:r w:rsidRPr="00E26EEF">
        <w:rPr>
          <w:rFonts w:ascii="Century Gothic" w:hAnsi="Century Gothic" w:cstheme="minorBidi"/>
          <w:color w:val="auto"/>
          <w:sz w:val="22"/>
          <w:szCs w:val="22"/>
        </w:rPr>
        <w:t xml:space="preserve"> 000 €</w:t>
      </w:r>
      <w:r w:rsidR="00B01BB3">
        <w:rPr>
          <w:rFonts w:ascii="Century Gothic" w:hAnsi="Century Gothic" w:cstheme="minorBidi"/>
          <w:color w:val="auto"/>
          <w:sz w:val="22"/>
          <w:szCs w:val="22"/>
        </w:rPr>
        <w:t xml:space="preserve"> </w:t>
      </w:r>
      <w:r w:rsidR="001A1831">
        <w:rPr>
          <w:rFonts w:ascii="Century Gothic" w:hAnsi="Century Gothic" w:cstheme="minorBidi"/>
          <w:color w:val="auto"/>
          <w:sz w:val="22"/>
          <w:szCs w:val="22"/>
        </w:rPr>
        <w:t>HT</w:t>
      </w:r>
      <w:r w:rsidR="00E61719">
        <w:rPr>
          <w:rFonts w:ascii="Century Gothic" w:hAnsi="Century Gothic" w:cstheme="minorBidi"/>
          <w:color w:val="auto"/>
          <w:sz w:val="22"/>
          <w:szCs w:val="22"/>
        </w:rPr>
        <w:t>.</w:t>
      </w:r>
    </w:p>
    <w:p w14:paraId="3FCA8159" w14:textId="041C1E6E" w:rsidR="006A6F91" w:rsidRPr="00E26EEF" w:rsidRDefault="00E61719" w:rsidP="006A6F91">
      <w:pPr>
        <w:pStyle w:val="Default"/>
        <w:rPr>
          <w:rFonts w:ascii="Century Gothic" w:hAnsi="Century Gothic" w:cstheme="minorBidi"/>
          <w:color w:val="auto"/>
          <w:sz w:val="22"/>
          <w:szCs w:val="22"/>
        </w:rPr>
      </w:pPr>
      <w:r>
        <w:rPr>
          <w:rFonts w:ascii="Century Gothic" w:hAnsi="Century Gothic" w:cstheme="minorBidi"/>
          <w:color w:val="auto"/>
          <w:sz w:val="22"/>
          <w:szCs w:val="22"/>
        </w:rPr>
        <w:t>L</w:t>
      </w:r>
      <w:r w:rsidR="006A6F91" w:rsidRPr="00E26EEF">
        <w:rPr>
          <w:rFonts w:ascii="Century Gothic" w:hAnsi="Century Gothic" w:cstheme="minorBidi"/>
          <w:color w:val="auto"/>
          <w:sz w:val="22"/>
          <w:szCs w:val="22"/>
        </w:rPr>
        <w:t xml:space="preserve">e plafond </w:t>
      </w:r>
      <w:r>
        <w:rPr>
          <w:rFonts w:ascii="Century Gothic" w:hAnsi="Century Gothic" w:cstheme="minorBidi"/>
          <w:color w:val="auto"/>
          <w:sz w:val="22"/>
          <w:szCs w:val="22"/>
        </w:rPr>
        <w:t xml:space="preserve">des dépenses éligibles est fixé </w:t>
      </w:r>
      <w:r w:rsidR="006A6F91" w:rsidRPr="00E26EEF">
        <w:rPr>
          <w:rFonts w:ascii="Century Gothic" w:hAnsi="Century Gothic" w:cstheme="minorBidi"/>
          <w:color w:val="auto"/>
          <w:sz w:val="22"/>
          <w:szCs w:val="22"/>
        </w:rPr>
        <w:t>à 50 000 €</w:t>
      </w:r>
      <w:r w:rsidR="00B01BB3">
        <w:rPr>
          <w:rFonts w:ascii="Century Gothic" w:hAnsi="Century Gothic" w:cstheme="minorBidi"/>
          <w:color w:val="auto"/>
          <w:sz w:val="22"/>
          <w:szCs w:val="22"/>
        </w:rPr>
        <w:t xml:space="preserve"> </w:t>
      </w:r>
      <w:r w:rsidR="001A1831">
        <w:rPr>
          <w:rFonts w:ascii="Century Gothic" w:hAnsi="Century Gothic" w:cstheme="minorBidi"/>
          <w:color w:val="auto"/>
          <w:sz w:val="22"/>
          <w:szCs w:val="22"/>
        </w:rPr>
        <w:t>HT</w:t>
      </w:r>
      <w:r w:rsidR="006A6F91" w:rsidRPr="00E26EEF">
        <w:rPr>
          <w:rFonts w:ascii="Century Gothic" w:hAnsi="Century Gothic" w:cstheme="minorBidi"/>
          <w:color w:val="auto"/>
          <w:sz w:val="22"/>
          <w:szCs w:val="22"/>
        </w:rPr>
        <w:t xml:space="preserve">. </w:t>
      </w:r>
    </w:p>
    <w:p w14:paraId="0A27A629" w14:textId="57315B76" w:rsidR="009004E9" w:rsidRDefault="006A6F91" w:rsidP="00E26EEF">
      <w:pPr>
        <w:pStyle w:val="Default"/>
        <w:rPr>
          <w:rFonts w:ascii="Century Gothic" w:hAnsi="Century Gothic" w:cstheme="minorBidi"/>
          <w:color w:val="auto"/>
          <w:sz w:val="22"/>
          <w:szCs w:val="22"/>
        </w:rPr>
      </w:pPr>
      <w:r w:rsidRPr="00E26EEF">
        <w:rPr>
          <w:rFonts w:ascii="Century Gothic" w:hAnsi="Century Gothic" w:cstheme="minorBidi"/>
          <w:color w:val="auto"/>
          <w:sz w:val="22"/>
          <w:szCs w:val="22"/>
        </w:rPr>
        <w:t xml:space="preserve">Le taux d’aide publique totale est de 30% du montant des dépenses éligibles dans le cas général. </w:t>
      </w:r>
      <w:r w:rsidR="00534D23" w:rsidRPr="00E26EEF">
        <w:rPr>
          <w:rFonts w:ascii="Century Gothic" w:hAnsi="Century Gothic" w:cstheme="minorBidi"/>
          <w:color w:val="auto"/>
          <w:sz w:val="22"/>
          <w:szCs w:val="22"/>
        </w:rPr>
        <w:t xml:space="preserve">Ce taux </w:t>
      </w:r>
      <w:r w:rsidR="00BD24CC">
        <w:rPr>
          <w:rFonts w:ascii="Century Gothic" w:hAnsi="Century Gothic" w:cstheme="minorBidi"/>
          <w:color w:val="auto"/>
          <w:sz w:val="22"/>
          <w:szCs w:val="22"/>
        </w:rPr>
        <w:t xml:space="preserve">peut être </w:t>
      </w:r>
      <w:r w:rsidR="00534D23" w:rsidRPr="00E26EEF">
        <w:rPr>
          <w:rFonts w:ascii="Century Gothic" w:hAnsi="Century Gothic" w:cstheme="minorBidi"/>
          <w:color w:val="auto"/>
          <w:sz w:val="22"/>
          <w:szCs w:val="22"/>
        </w:rPr>
        <w:t xml:space="preserve">majoré à 40% </w:t>
      </w:r>
      <w:r w:rsidRPr="00E26EEF">
        <w:rPr>
          <w:rFonts w:ascii="Century Gothic" w:hAnsi="Century Gothic" w:cstheme="minorBidi"/>
          <w:color w:val="auto"/>
          <w:sz w:val="22"/>
          <w:szCs w:val="22"/>
        </w:rPr>
        <w:t xml:space="preserve">pour </w:t>
      </w:r>
      <w:r w:rsidR="001A1831">
        <w:rPr>
          <w:rFonts w:ascii="Century Gothic" w:hAnsi="Century Gothic" w:cstheme="minorBidi"/>
          <w:color w:val="auto"/>
          <w:sz w:val="22"/>
          <w:szCs w:val="22"/>
        </w:rPr>
        <w:t xml:space="preserve">les </w:t>
      </w:r>
      <w:r w:rsidR="004B760D">
        <w:rPr>
          <w:rFonts w:ascii="Century Gothic" w:hAnsi="Century Gothic" w:cstheme="minorBidi"/>
          <w:color w:val="auto"/>
          <w:sz w:val="22"/>
          <w:szCs w:val="22"/>
        </w:rPr>
        <w:t xml:space="preserve">projets </w:t>
      </w:r>
      <w:r w:rsidR="004B760D" w:rsidRPr="00E26EEF">
        <w:rPr>
          <w:rFonts w:ascii="Century Gothic" w:hAnsi="Century Gothic" w:cstheme="minorBidi"/>
          <w:color w:val="auto"/>
          <w:sz w:val="22"/>
          <w:szCs w:val="22"/>
        </w:rPr>
        <w:t>rassemblant</w:t>
      </w:r>
      <w:r w:rsidR="001A1831">
        <w:rPr>
          <w:rFonts w:ascii="Century Gothic" w:hAnsi="Century Gothic" w:cstheme="minorBidi"/>
          <w:color w:val="auto"/>
          <w:sz w:val="22"/>
          <w:szCs w:val="22"/>
        </w:rPr>
        <w:t xml:space="preserve"> plusieurs critères </w:t>
      </w:r>
      <w:r w:rsidR="00B01BB3">
        <w:rPr>
          <w:rFonts w:ascii="Century Gothic" w:hAnsi="Century Gothic" w:cstheme="minorBidi"/>
          <w:color w:val="auto"/>
          <w:sz w:val="22"/>
          <w:szCs w:val="22"/>
        </w:rPr>
        <w:t>parmi</w:t>
      </w:r>
      <w:r w:rsidR="004B760D">
        <w:rPr>
          <w:rFonts w:ascii="Century Gothic" w:hAnsi="Century Gothic" w:cstheme="minorBidi"/>
          <w:color w:val="auto"/>
          <w:sz w:val="22"/>
          <w:szCs w:val="22"/>
        </w:rPr>
        <w:t xml:space="preserve"> </w:t>
      </w:r>
      <w:r w:rsidR="000D4A74">
        <w:rPr>
          <w:rFonts w:ascii="Century Gothic" w:hAnsi="Century Gothic" w:cstheme="minorBidi"/>
          <w:color w:val="auto"/>
          <w:sz w:val="22"/>
          <w:szCs w:val="22"/>
        </w:rPr>
        <w:t>la liste des objectifs présentée à l’</w:t>
      </w:r>
      <w:r w:rsidR="004B760D">
        <w:rPr>
          <w:rFonts w:ascii="Century Gothic" w:hAnsi="Century Gothic" w:cstheme="minorBidi"/>
          <w:color w:val="auto"/>
          <w:sz w:val="22"/>
          <w:szCs w:val="22"/>
        </w:rPr>
        <w:t xml:space="preserve">article 1. </w:t>
      </w:r>
    </w:p>
    <w:p w14:paraId="164FE6F2" w14:textId="77777777" w:rsidR="00B01BB3" w:rsidRDefault="00B01BB3" w:rsidP="00E26EEF">
      <w:pPr>
        <w:pStyle w:val="Default"/>
        <w:rPr>
          <w:rFonts w:ascii="Century Gothic" w:hAnsi="Century Gothic" w:cstheme="minorBidi"/>
          <w:color w:val="auto"/>
          <w:sz w:val="22"/>
          <w:szCs w:val="22"/>
        </w:rPr>
      </w:pPr>
    </w:p>
    <w:p w14:paraId="6242771E" w14:textId="301E5281" w:rsidR="00E26EEF" w:rsidRDefault="00E26EEF" w:rsidP="00E26EEF">
      <w:pPr>
        <w:pStyle w:val="Default"/>
        <w:rPr>
          <w:rFonts w:ascii="Century Gothic" w:hAnsi="Century Gothic" w:cstheme="minorBidi"/>
          <w:color w:val="auto"/>
          <w:sz w:val="22"/>
          <w:szCs w:val="22"/>
        </w:rPr>
      </w:pPr>
      <w:r w:rsidRPr="00E26EEF">
        <w:rPr>
          <w:rFonts w:ascii="Century Gothic" w:hAnsi="Century Gothic" w:cstheme="minorBidi"/>
          <w:color w:val="auto"/>
          <w:sz w:val="22"/>
          <w:szCs w:val="22"/>
        </w:rPr>
        <w:t>Ce</w:t>
      </w:r>
      <w:r w:rsidR="00BD24CC">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critère</w:t>
      </w:r>
      <w:r w:rsidR="00BD24CC">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doi</w:t>
      </w:r>
      <w:r w:rsidR="00BD24CC">
        <w:rPr>
          <w:rFonts w:ascii="Century Gothic" w:hAnsi="Century Gothic" w:cstheme="minorBidi"/>
          <w:color w:val="auto"/>
          <w:sz w:val="22"/>
          <w:szCs w:val="22"/>
        </w:rPr>
        <w:t>ven</w:t>
      </w:r>
      <w:r w:rsidRPr="00E26EEF">
        <w:rPr>
          <w:rFonts w:ascii="Century Gothic" w:hAnsi="Century Gothic" w:cstheme="minorBidi"/>
          <w:color w:val="auto"/>
          <w:sz w:val="22"/>
          <w:szCs w:val="22"/>
        </w:rPr>
        <w:t>t être respecté</w:t>
      </w:r>
      <w:r w:rsidR="00BD24CC">
        <w:rPr>
          <w:rFonts w:ascii="Century Gothic" w:hAnsi="Century Gothic" w:cstheme="minorBidi"/>
          <w:color w:val="auto"/>
          <w:sz w:val="22"/>
          <w:szCs w:val="22"/>
        </w:rPr>
        <w:t>s</w:t>
      </w:r>
      <w:r w:rsidRPr="00E26EEF">
        <w:rPr>
          <w:rFonts w:ascii="Century Gothic" w:hAnsi="Century Gothic" w:cstheme="minorBidi"/>
          <w:color w:val="auto"/>
          <w:sz w:val="22"/>
          <w:szCs w:val="22"/>
        </w:rPr>
        <w:t xml:space="preserve"> lors du dépôt de la demande d’aide et jusqu’au dernier versement de la subvention. A défaut, le montant de l’aide sera revu à la baisse sur la base d’un taux d’aide de 30%.</w:t>
      </w:r>
    </w:p>
    <w:p w14:paraId="24A5EE9A" w14:textId="463646E1" w:rsidR="006A6F91" w:rsidRPr="00E26EEF" w:rsidRDefault="006A6F91" w:rsidP="006A6F91">
      <w:pPr>
        <w:pStyle w:val="Default"/>
        <w:rPr>
          <w:rFonts w:ascii="Century Gothic" w:hAnsi="Century Gothic" w:cstheme="minorBidi"/>
          <w:color w:val="auto"/>
          <w:sz w:val="22"/>
          <w:szCs w:val="22"/>
        </w:rPr>
      </w:pPr>
    </w:p>
    <w:p w14:paraId="486E55D9" w14:textId="255F5006" w:rsidR="006A6F91" w:rsidRDefault="006A6F91" w:rsidP="006A6F91">
      <w:pPr>
        <w:pStyle w:val="Default"/>
        <w:jc w:val="both"/>
        <w:rPr>
          <w:rFonts w:ascii="Century Gothic" w:hAnsi="Century Gothic" w:cstheme="minorBidi"/>
          <w:color w:val="auto"/>
          <w:sz w:val="22"/>
          <w:szCs w:val="22"/>
        </w:rPr>
      </w:pPr>
      <w:r w:rsidRPr="00E26EEF">
        <w:rPr>
          <w:rFonts w:ascii="Century Gothic" w:hAnsi="Century Gothic" w:cstheme="minorBidi"/>
          <w:color w:val="auto"/>
          <w:sz w:val="22"/>
          <w:szCs w:val="22"/>
        </w:rPr>
        <w:t>Le montant de la subvention accordée sera réduit, au prorata des dépenses réellement exécutées, si le coût réel d’achat est inférieur au coût prévisionnel indiqué au moment de la présentation du dossier en Commission permanente. Si le coût définitif est supérieur au coût prévisionnel, la subvention ne fera l’objet d’aucune revalorisation.</w:t>
      </w:r>
      <w:r w:rsidR="006D6260" w:rsidRPr="00E26EEF">
        <w:rPr>
          <w:rFonts w:ascii="Century Gothic" w:hAnsi="Century Gothic" w:cstheme="minorBidi"/>
          <w:color w:val="auto"/>
          <w:sz w:val="22"/>
          <w:szCs w:val="22"/>
        </w:rPr>
        <w:t xml:space="preserve"> </w:t>
      </w:r>
    </w:p>
    <w:p w14:paraId="5869AD62" w14:textId="0DEF57AD" w:rsidR="006A6F91" w:rsidRPr="00E26EEF" w:rsidRDefault="006A6F91" w:rsidP="006A6F91">
      <w:pPr>
        <w:pStyle w:val="Default"/>
        <w:rPr>
          <w:rFonts w:ascii="Century Gothic" w:hAnsi="Century Gothic" w:cstheme="minorBidi"/>
          <w:color w:val="auto"/>
          <w:sz w:val="22"/>
          <w:szCs w:val="22"/>
        </w:rPr>
      </w:pPr>
    </w:p>
    <w:p w14:paraId="7248DA50" w14:textId="5D305A9E" w:rsidR="006A6F91" w:rsidRPr="00E26EEF" w:rsidRDefault="006A6F91" w:rsidP="005559B9">
      <w:pPr>
        <w:pStyle w:val="En-tte"/>
        <w:rPr>
          <w:rFonts w:ascii="Century Gothic" w:eastAsiaTheme="minorHAnsi" w:hAnsi="Century Gothic" w:cstheme="minorBidi"/>
          <w:b/>
          <w:sz w:val="22"/>
        </w:rPr>
      </w:pPr>
      <w:r w:rsidRPr="00E26EEF">
        <w:rPr>
          <w:rFonts w:ascii="Century Gothic" w:eastAsiaTheme="minorHAnsi" w:hAnsi="Century Gothic" w:cstheme="minorBidi"/>
          <w:b/>
          <w:sz w:val="22"/>
        </w:rPr>
        <w:t xml:space="preserve">4/ Procédure </w:t>
      </w:r>
      <w:r w:rsidR="007C64BF">
        <w:rPr>
          <w:rFonts w:ascii="Century Gothic" w:eastAsiaTheme="minorHAnsi" w:hAnsi="Century Gothic" w:cstheme="minorBidi"/>
          <w:b/>
          <w:sz w:val="22"/>
        </w:rPr>
        <w:t>d’</w:t>
      </w:r>
      <w:r w:rsidR="00457C14">
        <w:rPr>
          <w:rFonts w:ascii="Century Gothic" w:eastAsiaTheme="minorHAnsi" w:hAnsi="Century Gothic" w:cstheme="minorBidi"/>
          <w:b/>
          <w:sz w:val="22"/>
        </w:rPr>
        <w:t xml:space="preserve">instruction et </w:t>
      </w:r>
      <w:r w:rsidR="007C64BF">
        <w:rPr>
          <w:rFonts w:ascii="Century Gothic" w:eastAsiaTheme="minorHAnsi" w:hAnsi="Century Gothic" w:cstheme="minorBidi"/>
          <w:b/>
          <w:sz w:val="22"/>
        </w:rPr>
        <w:t>attribution</w:t>
      </w:r>
      <w:r w:rsidR="00457C14">
        <w:rPr>
          <w:rFonts w:ascii="Century Gothic" w:eastAsiaTheme="minorHAnsi" w:hAnsi="Century Gothic" w:cstheme="minorBidi"/>
          <w:b/>
          <w:sz w:val="22"/>
        </w:rPr>
        <w:t xml:space="preserve"> de l’aide</w:t>
      </w:r>
    </w:p>
    <w:p w14:paraId="33F999CB" w14:textId="04CFFECA" w:rsidR="00077197" w:rsidRDefault="006A6F91" w:rsidP="006A6F91">
      <w:pPr>
        <w:pStyle w:val="En-tte"/>
        <w:rPr>
          <w:rFonts w:ascii="Century Gothic" w:eastAsiaTheme="minorHAnsi" w:hAnsi="Century Gothic" w:cstheme="minorBidi"/>
          <w:sz w:val="22"/>
        </w:rPr>
      </w:pPr>
      <w:r w:rsidRPr="00E26EEF">
        <w:rPr>
          <w:rFonts w:ascii="Century Gothic" w:eastAsiaTheme="minorHAnsi" w:hAnsi="Century Gothic" w:cstheme="minorBidi"/>
          <w:sz w:val="22"/>
          <w:u w:val="single"/>
        </w:rPr>
        <w:t>Dépôt du dossier</w:t>
      </w:r>
      <w:r w:rsidRPr="00E26EEF">
        <w:rPr>
          <w:rFonts w:ascii="Century Gothic" w:eastAsiaTheme="minorHAnsi" w:hAnsi="Century Gothic" w:cstheme="minorBidi"/>
          <w:sz w:val="22"/>
        </w:rPr>
        <w:t xml:space="preserve"> : </w:t>
      </w:r>
      <w:r w:rsidR="00E26EEF" w:rsidRPr="00E26EEF">
        <w:rPr>
          <w:rFonts w:ascii="Century Gothic" w:eastAsiaTheme="minorHAnsi" w:hAnsi="Century Gothic" w:cstheme="minorBidi"/>
          <w:sz w:val="22"/>
        </w:rPr>
        <w:t xml:space="preserve">Le dossier </w:t>
      </w:r>
      <w:r w:rsidR="00E26EEF">
        <w:rPr>
          <w:rFonts w:ascii="Century Gothic" w:eastAsiaTheme="minorHAnsi" w:hAnsi="Century Gothic" w:cstheme="minorBidi"/>
          <w:sz w:val="22"/>
        </w:rPr>
        <w:t>de candidature</w:t>
      </w:r>
      <w:r w:rsidR="00E26EEF" w:rsidRPr="00E26EEF">
        <w:rPr>
          <w:rFonts w:ascii="Century Gothic" w:eastAsiaTheme="minorHAnsi" w:hAnsi="Century Gothic" w:cstheme="minorBidi"/>
          <w:sz w:val="22"/>
        </w:rPr>
        <w:t xml:space="preserve"> </w:t>
      </w:r>
      <w:r w:rsidR="00024F0E">
        <w:rPr>
          <w:rFonts w:ascii="Century Gothic" w:eastAsiaTheme="minorHAnsi" w:hAnsi="Century Gothic" w:cstheme="minorBidi"/>
          <w:sz w:val="22"/>
        </w:rPr>
        <w:t>et les pièces associées devront</w:t>
      </w:r>
      <w:r w:rsidR="00E26EEF" w:rsidRPr="00E26EEF">
        <w:rPr>
          <w:rFonts w:ascii="Century Gothic" w:eastAsiaTheme="minorHAnsi" w:hAnsi="Century Gothic" w:cstheme="minorBidi"/>
          <w:sz w:val="22"/>
        </w:rPr>
        <w:t xml:space="preserve"> être déposé</w:t>
      </w:r>
      <w:r w:rsidR="00024F0E">
        <w:rPr>
          <w:rFonts w:ascii="Century Gothic" w:eastAsiaTheme="minorHAnsi" w:hAnsi="Century Gothic" w:cstheme="minorBidi"/>
          <w:sz w:val="22"/>
        </w:rPr>
        <w:t>s</w:t>
      </w:r>
      <w:r w:rsidR="00E26EEF" w:rsidRPr="00E26EEF">
        <w:rPr>
          <w:rFonts w:ascii="Century Gothic" w:eastAsiaTheme="minorHAnsi" w:hAnsi="Century Gothic" w:cstheme="minorBidi"/>
          <w:sz w:val="22"/>
        </w:rPr>
        <w:t xml:space="preserve"> à l’adresse suivante</w:t>
      </w:r>
      <w:r w:rsidR="00C22D1F">
        <w:rPr>
          <w:rFonts w:ascii="Century Gothic" w:eastAsiaTheme="minorHAnsi" w:hAnsi="Century Gothic" w:cstheme="minorBidi"/>
          <w:sz w:val="22"/>
        </w:rPr>
        <w:t xml:space="preserve"> </w:t>
      </w:r>
      <w:r w:rsidR="006D6260" w:rsidRPr="00E26EEF">
        <w:rPr>
          <w:rFonts w:ascii="Century Gothic" w:eastAsiaTheme="minorHAnsi" w:hAnsi="Century Gothic" w:cstheme="minorBidi"/>
          <w:sz w:val="22"/>
        </w:rPr>
        <w:t xml:space="preserve">: </w:t>
      </w:r>
      <w:hyperlink r:id="rId8" w:history="1">
        <w:r w:rsidR="006D6260" w:rsidRPr="00E26EEF">
          <w:rPr>
            <w:rStyle w:val="Lienhypertexte"/>
            <w:rFonts w:ascii="Century Gothic" w:eastAsiaTheme="minorHAnsi" w:hAnsi="Century Gothic" w:cstheme="minorBidi"/>
            <w:sz w:val="22"/>
          </w:rPr>
          <w:t>subventions@maine-et-loire.fr</w:t>
        </w:r>
      </w:hyperlink>
      <w:r w:rsidR="006D6260" w:rsidRPr="00E26EEF">
        <w:rPr>
          <w:rFonts w:ascii="Century Gothic" w:eastAsiaTheme="minorHAnsi" w:hAnsi="Century Gothic" w:cstheme="minorBidi"/>
          <w:sz w:val="22"/>
        </w:rPr>
        <w:t xml:space="preserve">. </w:t>
      </w:r>
    </w:p>
    <w:p w14:paraId="7E5B3A89" w14:textId="3CC64CB1" w:rsidR="007C64BF" w:rsidRPr="009004E9" w:rsidRDefault="007C64BF" w:rsidP="006A6F91">
      <w:pPr>
        <w:pStyle w:val="En-tte"/>
        <w:rPr>
          <w:rFonts w:ascii="Century Gothic" w:hAnsi="Century Gothic" w:cstheme="minorBidi"/>
          <w:sz w:val="22"/>
        </w:rPr>
      </w:pPr>
      <w:r>
        <w:rPr>
          <w:rFonts w:ascii="Century Gothic" w:eastAsiaTheme="minorHAnsi" w:hAnsi="Century Gothic" w:cstheme="minorBidi"/>
          <w:sz w:val="22"/>
          <w:u w:val="single"/>
        </w:rPr>
        <w:t>Instruction</w:t>
      </w:r>
      <w:r w:rsidRPr="00E26EEF">
        <w:rPr>
          <w:rFonts w:ascii="Century Gothic" w:eastAsiaTheme="minorHAnsi" w:hAnsi="Century Gothic" w:cstheme="minorBidi"/>
          <w:sz w:val="22"/>
          <w:u w:val="single"/>
        </w:rPr>
        <w:t xml:space="preserve"> du dossier</w:t>
      </w:r>
      <w:r>
        <w:rPr>
          <w:rFonts w:ascii="Century Gothic" w:eastAsiaTheme="minorHAnsi" w:hAnsi="Century Gothic" w:cstheme="minorBidi"/>
          <w:sz w:val="22"/>
        </w:rPr>
        <w:t xml:space="preserve"> : </w:t>
      </w:r>
      <w:r w:rsidRPr="00E26EEF">
        <w:rPr>
          <w:rFonts w:ascii="Century Gothic" w:hAnsi="Century Gothic" w:cstheme="minorBidi"/>
          <w:sz w:val="22"/>
        </w:rPr>
        <w:t>la demande de subvention sera instruite par les services du Département. Seuls les dossiers complets et éligibles seront analysés</w:t>
      </w:r>
      <w:r>
        <w:rPr>
          <w:rFonts w:ascii="Century Gothic" w:hAnsi="Century Gothic" w:cstheme="minorBidi"/>
          <w:sz w:val="22"/>
        </w:rPr>
        <w:t>.</w:t>
      </w:r>
      <w:r w:rsidR="00B2736B">
        <w:rPr>
          <w:rFonts w:ascii="Century Gothic" w:hAnsi="Century Gothic" w:cstheme="minorBidi"/>
          <w:sz w:val="22"/>
        </w:rPr>
        <w:t xml:space="preserve"> </w:t>
      </w:r>
      <w:r w:rsidR="00B2736B" w:rsidRPr="00B2736B">
        <w:rPr>
          <w:rFonts w:ascii="Century Gothic" w:hAnsi="Century Gothic" w:cstheme="minorBidi"/>
          <w:sz w:val="22"/>
        </w:rPr>
        <w:t>Des pièces ou informations complémentaires pourront être réclamées au demandeur après dépôt du dossier. Le demandeur transmettra ces pièces ou informations dans le délai de réponse indiqué par les services du Département.</w:t>
      </w:r>
    </w:p>
    <w:p w14:paraId="7427E68B" w14:textId="74255B29" w:rsidR="007C64BF" w:rsidRDefault="007C64BF" w:rsidP="009004E9">
      <w:pPr>
        <w:tabs>
          <w:tab w:val="left" w:pos="1701"/>
          <w:tab w:val="left" w:pos="1985"/>
        </w:tabs>
        <w:jc w:val="both"/>
        <w:rPr>
          <w:rFonts w:ascii="Century Gothic" w:hAnsi="Century Gothic"/>
        </w:rPr>
      </w:pPr>
      <w:r w:rsidRPr="00CE2B17">
        <w:rPr>
          <w:rFonts w:ascii="Century Gothic" w:hAnsi="Century Gothic"/>
          <w:u w:val="single"/>
        </w:rPr>
        <w:t>Attribution</w:t>
      </w:r>
      <w:r>
        <w:rPr>
          <w:rFonts w:ascii="Century Gothic" w:hAnsi="Century Gothic"/>
        </w:rPr>
        <w:t xml:space="preserve"> : </w:t>
      </w:r>
      <w:r w:rsidRPr="00C4486A">
        <w:rPr>
          <w:rFonts w:ascii="Century Gothic" w:hAnsi="Century Gothic"/>
        </w:rPr>
        <w:t xml:space="preserve">Les subventions seront attribuées par la Commission permanente du Conseil départemental dans la limite des crédits inscrits au budget 2026. </w:t>
      </w:r>
      <w:r w:rsidR="0026052A" w:rsidRPr="00E26EEF">
        <w:rPr>
          <w:rFonts w:ascii="Century Gothic" w:hAnsi="Century Gothic"/>
        </w:rPr>
        <w:t>Elles feront</w:t>
      </w:r>
      <w:r>
        <w:rPr>
          <w:rFonts w:ascii="Century Gothic" w:hAnsi="Century Gothic"/>
        </w:rPr>
        <w:t xml:space="preserve"> </w:t>
      </w:r>
      <w:r w:rsidRPr="00E26EEF">
        <w:rPr>
          <w:rFonts w:ascii="Century Gothic" w:hAnsi="Century Gothic"/>
        </w:rPr>
        <w:t>l’objet d’une convention conclue entre le Département et le bénéficiaire.</w:t>
      </w:r>
    </w:p>
    <w:p w14:paraId="6B221CAA" w14:textId="75D33997" w:rsidR="000522D4" w:rsidRDefault="00024F0E" w:rsidP="00C764AD">
      <w:pPr>
        <w:pStyle w:val="En-tte"/>
        <w:rPr>
          <w:rFonts w:ascii="Century Gothic" w:eastAsiaTheme="minorHAnsi" w:hAnsi="Century Gothic" w:cstheme="minorBidi"/>
          <w:sz w:val="22"/>
        </w:rPr>
      </w:pPr>
      <w:r w:rsidRPr="00C764AD">
        <w:rPr>
          <w:rFonts w:ascii="Century Gothic" w:eastAsiaTheme="minorHAnsi" w:hAnsi="Century Gothic" w:cstheme="minorBidi"/>
          <w:sz w:val="22"/>
        </w:rPr>
        <w:t>Il est précisé que la décision attributive doit être préalable à tout commencement d’exécution des travaux ou à toute acquisition faisant l’objet de la demande de subvention</w:t>
      </w:r>
      <w:r w:rsidR="00B01BB3">
        <w:rPr>
          <w:rFonts w:ascii="Century Gothic" w:eastAsiaTheme="minorHAnsi" w:hAnsi="Century Gothic" w:cstheme="minorBidi"/>
          <w:sz w:val="22"/>
        </w:rPr>
        <w:t>.</w:t>
      </w:r>
      <w:r w:rsidR="001306ED" w:rsidRPr="001306ED">
        <w:rPr>
          <w:rFonts w:ascii="Century Gothic" w:eastAsiaTheme="minorHAnsi" w:hAnsi="Century Gothic" w:cstheme="minorBidi"/>
          <w:sz w:val="22"/>
        </w:rPr>
        <w:t xml:space="preserve"> </w:t>
      </w:r>
      <w:r w:rsidR="001306ED" w:rsidRPr="00C764AD">
        <w:rPr>
          <w:rFonts w:ascii="Century Gothic" w:eastAsiaTheme="minorHAnsi" w:hAnsi="Century Gothic" w:cstheme="minorBidi"/>
          <w:sz w:val="22"/>
        </w:rPr>
        <w:t>En cas de non-respect de cette règle par le bénéficiaire, la Présidente du Conseil départemental procèdera à l’annulation de la subvention.</w:t>
      </w:r>
    </w:p>
    <w:p w14:paraId="43554859" w14:textId="77777777" w:rsidR="00FB07E7" w:rsidRDefault="00FB07E7" w:rsidP="00C764AD">
      <w:pPr>
        <w:pStyle w:val="En-tte"/>
        <w:rPr>
          <w:rFonts w:ascii="Century Gothic" w:eastAsiaTheme="minorHAnsi" w:hAnsi="Century Gothic" w:cstheme="minorBidi"/>
          <w:sz w:val="22"/>
        </w:rPr>
      </w:pPr>
    </w:p>
    <w:p w14:paraId="5B56E590" w14:textId="77777777" w:rsidR="000522D4" w:rsidRDefault="000522D4" w:rsidP="00C764AD">
      <w:pPr>
        <w:pStyle w:val="En-tte"/>
        <w:rPr>
          <w:rFonts w:ascii="Century Gothic" w:eastAsiaTheme="minorHAnsi" w:hAnsi="Century Gothic" w:cstheme="minorBidi"/>
          <w:sz w:val="22"/>
        </w:rPr>
      </w:pPr>
    </w:p>
    <w:p w14:paraId="4E7AF296" w14:textId="77777777" w:rsidR="000522D4" w:rsidRDefault="000522D4" w:rsidP="00C764AD">
      <w:pPr>
        <w:pStyle w:val="En-tte"/>
        <w:rPr>
          <w:rFonts w:ascii="Century Gothic" w:eastAsiaTheme="minorHAnsi" w:hAnsi="Century Gothic" w:cstheme="minorBidi"/>
          <w:sz w:val="22"/>
        </w:rPr>
      </w:pPr>
    </w:p>
    <w:p w14:paraId="2ED8E717" w14:textId="27A46886" w:rsidR="000522D4" w:rsidRDefault="000735F5" w:rsidP="00C764AD">
      <w:pPr>
        <w:pStyle w:val="En-tte"/>
        <w:rPr>
          <w:rFonts w:ascii="Century Gothic" w:eastAsiaTheme="minorHAnsi" w:hAnsi="Century Gothic" w:cstheme="minorBidi"/>
          <w:b/>
          <w:sz w:val="22"/>
        </w:rPr>
      </w:pPr>
      <w:r w:rsidRPr="000735F5">
        <w:rPr>
          <w:rFonts w:ascii="Century Gothic" w:eastAsiaTheme="minorHAnsi" w:hAnsi="Century Gothic" w:cstheme="minorBidi"/>
          <w:sz w:val="22"/>
        </w:rPr>
        <w:t>À titre exceptionnel, pour répondre à des motifs techniques impérieux, ou à des situations</w:t>
      </w:r>
      <w:r>
        <w:rPr>
          <w:rFonts w:ascii="Century Gothic" w:eastAsiaTheme="minorHAnsi" w:hAnsi="Century Gothic" w:cstheme="minorBidi"/>
          <w:sz w:val="22"/>
        </w:rPr>
        <w:t xml:space="preserve"> </w:t>
      </w:r>
      <w:r w:rsidRPr="000735F5">
        <w:rPr>
          <w:rFonts w:ascii="Century Gothic" w:eastAsiaTheme="minorHAnsi" w:hAnsi="Century Gothic" w:cstheme="minorBidi"/>
          <w:sz w:val="22"/>
        </w:rPr>
        <w:t>imprévisibles, l’autorité compétente peut autoriser le commencement des travaux, études ou</w:t>
      </w:r>
      <w:r>
        <w:rPr>
          <w:rFonts w:ascii="Century Gothic" w:eastAsiaTheme="minorHAnsi" w:hAnsi="Century Gothic" w:cstheme="minorBidi"/>
          <w:sz w:val="22"/>
        </w:rPr>
        <w:t xml:space="preserve"> </w:t>
      </w:r>
      <w:r w:rsidRPr="000735F5">
        <w:rPr>
          <w:rFonts w:ascii="Century Gothic" w:eastAsiaTheme="minorHAnsi" w:hAnsi="Century Gothic" w:cstheme="minorBidi"/>
          <w:sz w:val="22"/>
        </w:rPr>
        <w:t>acquisitions, avant l'octroi de la subvention, étant précisé que cette autorisation ne vaut en aucun</w:t>
      </w:r>
      <w:r>
        <w:rPr>
          <w:rFonts w:ascii="Century Gothic" w:eastAsiaTheme="minorHAnsi" w:hAnsi="Century Gothic" w:cstheme="minorBidi"/>
          <w:sz w:val="22"/>
        </w:rPr>
        <w:t xml:space="preserve"> </w:t>
      </w:r>
      <w:r w:rsidRPr="000735F5">
        <w:rPr>
          <w:rFonts w:ascii="Century Gothic" w:eastAsiaTheme="minorHAnsi" w:hAnsi="Century Gothic" w:cstheme="minorBidi"/>
          <w:sz w:val="22"/>
        </w:rPr>
        <w:t>cas promesse de subvention ultérieure, ni critère de priorité pour une inscription à un</w:t>
      </w:r>
      <w:r>
        <w:rPr>
          <w:rFonts w:ascii="Century Gothic" w:eastAsiaTheme="minorHAnsi" w:hAnsi="Century Gothic" w:cstheme="minorBidi"/>
          <w:sz w:val="22"/>
        </w:rPr>
        <w:t xml:space="preserve"> </w:t>
      </w:r>
      <w:r w:rsidRPr="000735F5">
        <w:rPr>
          <w:rFonts w:ascii="Century Gothic" w:eastAsiaTheme="minorHAnsi" w:hAnsi="Century Gothic" w:cstheme="minorBidi"/>
          <w:sz w:val="22"/>
        </w:rPr>
        <w:t>programme futur</w:t>
      </w:r>
      <w:r>
        <w:rPr>
          <w:rFonts w:ascii="Century Gothic" w:eastAsiaTheme="minorHAnsi" w:hAnsi="Century Gothic" w:cstheme="minorBidi"/>
          <w:sz w:val="22"/>
        </w:rPr>
        <w:t>.</w:t>
      </w:r>
    </w:p>
    <w:p w14:paraId="38102791" w14:textId="4420869C" w:rsidR="007C64BF" w:rsidRPr="00CE2B17" w:rsidRDefault="007C64BF" w:rsidP="00C764AD">
      <w:pPr>
        <w:pStyle w:val="En-tte"/>
        <w:rPr>
          <w:rFonts w:ascii="Century Gothic" w:eastAsiaTheme="minorHAnsi" w:hAnsi="Century Gothic" w:cstheme="minorBidi"/>
          <w:b/>
          <w:sz w:val="22"/>
        </w:rPr>
      </w:pPr>
      <w:r w:rsidRPr="00CE2B17">
        <w:rPr>
          <w:rFonts w:ascii="Century Gothic" w:eastAsiaTheme="minorHAnsi" w:hAnsi="Century Gothic" w:cstheme="minorBidi"/>
          <w:b/>
          <w:sz w:val="22"/>
        </w:rPr>
        <w:t>5/ Calendrier</w:t>
      </w:r>
    </w:p>
    <w:p w14:paraId="2C550EB7" w14:textId="77777777" w:rsidR="00B51B5A" w:rsidRDefault="00B51B5A" w:rsidP="00B51B5A">
      <w:pPr>
        <w:widowControl w:val="0"/>
        <w:rPr>
          <w:rFonts w:ascii="Century Gothic" w:hAnsi="Century Gothic" w:cstheme="minorHAnsi"/>
          <w:b/>
        </w:rPr>
      </w:pPr>
      <w:r>
        <w:rPr>
          <w:rFonts w:ascii="Century Gothic" w:hAnsi="Century Gothic" w:cstheme="minorHAnsi"/>
          <w:b/>
        </w:rPr>
        <w:t xml:space="preserve">Calendrier de l’Appel à projet : </w:t>
      </w:r>
    </w:p>
    <w:p w14:paraId="56224DB5" w14:textId="7AEEBCF5" w:rsidR="00B51B5A" w:rsidRDefault="00B01BB3" w:rsidP="00B51B5A">
      <w:pPr>
        <w:widowControl w:val="0"/>
        <w:rPr>
          <w:rFonts w:ascii="Century Gothic" w:hAnsi="Century Gothic" w:cstheme="minorHAnsi"/>
          <w:b/>
        </w:rPr>
      </w:pPr>
      <w:r>
        <w:rPr>
          <w:rFonts w:ascii="Century Gothic" w:hAnsi="Century Gothic" w:cstheme="minorHAnsi"/>
        </w:rPr>
        <w:t>Les dossiers sont à déposés du</w:t>
      </w:r>
      <w:r w:rsidR="00B51B5A" w:rsidRPr="00326658">
        <w:rPr>
          <w:rFonts w:ascii="Century Gothic" w:hAnsi="Century Gothic" w:cstheme="minorHAnsi"/>
        </w:rPr>
        <w:t xml:space="preserve"> </w:t>
      </w:r>
      <w:r w:rsidR="00DC5DDF">
        <w:rPr>
          <w:rFonts w:ascii="Century Gothic" w:hAnsi="Century Gothic" w:cstheme="minorHAnsi"/>
        </w:rPr>
        <w:t>15 avril</w:t>
      </w:r>
      <w:r w:rsidR="00B51B5A" w:rsidRPr="00326658">
        <w:rPr>
          <w:rFonts w:ascii="Century Gothic" w:hAnsi="Century Gothic" w:cstheme="minorHAnsi"/>
        </w:rPr>
        <w:t xml:space="preserve"> au </w:t>
      </w:r>
      <w:r w:rsidR="00DC5DDF">
        <w:rPr>
          <w:rFonts w:ascii="Century Gothic" w:hAnsi="Century Gothic" w:cstheme="minorHAnsi"/>
        </w:rPr>
        <w:t xml:space="preserve">31 août </w:t>
      </w:r>
      <w:r w:rsidR="00DC5DDF" w:rsidRPr="00326658">
        <w:rPr>
          <w:rFonts w:ascii="Century Gothic" w:hAnsi="Century Gothic" w:cstheme="minorHAnsi"/>
        </w:rPr>
        <w:t>2026</w:t>
      </w:r>
      <w:r>
        <w:rPr>
          <w:rFonts w:ascii="Century Gothic" w:hAnsi="Century Gothic" w:cstheme="minorHAnsi"/>
        </w:rPr>
        <w:t>.</w:t>
      </w:r>
    </w:p>
    <w:p w14:paraId="7D0C00AD" w14:textId="77777777" w:rsidR="00B51B5A" w:rsidRDefault="00B51B5A" w:rsidP="00B51B5A">
      <w:pPr>
        <w:widowControl w:val="0"/>
        <w:rPr>
          <w:rFonts w:ascii="Century Gothic" w:hAnsi="Century Gothic" w:cstheme="minorHAnsi"/>
          <w:b/>
        </w:rPr>
      </w:pPr>
      <w:r w:rsidRPr="000C6DBF">
        <w:rPr>
          <w:rFonts w:ascii="Century Gothic" w:hAnsi="Century Gothic" w:cstheme="minorHAnsi"/>
          <w:b/>
        </w:rPr>
        <w:t>Service à contacter :</w:t>
      </w:r>
    </w:p>
    <w:p w14:paraId="5082EA94" w14:textId="77777777" w:rsidR="00B51B5A" w:rsidRPr="00326658" w:rsidRDefault="00B51B5A" w:rsidP="000522D4">
      <w:pPr>
        <w:widowControl w:val="0"/>
        <w:spacing w:after="0"/>
        <w:rPr>
          <w:rFonts w:ascii="Century Gothic" w:hAnsi="Century Gothic" w:cstheme="minorHAnsi"/>
          <w:b/>
        </w:rPr>
      </w:pPr>
      <w:r w:rsidRPr="000C6DBF">
        <w:rPr>
          <w:rFonts w:ascii="Century Gothic" w:hAnsi="Century Gothic" w:cstheme="minorHAnsi"/>
        </w:rPr>
        <w:t>Direction de l’ingénierie territoriale et de l’environnement</w:t>
      </w:r>
    </w:p>
    <w:p w14:paraId="201C6B10" w14:textId="0F4E2DDF" w:rsidR="00C2591C" w:rsidRPr="002A13A8" w:rsidRDefault="00B51B5A" w:rsidP="000522D4">
      <w:pPr>
        <w:pStyle w:val="En-tte"/>
        <w:numPr>
          <w:ilvl w:val="0"/>
          <w:numId w:val="16"/>
        </w:numPr>
        <w:spacing w:after="0"/>
        <w:rPr>
          <w:rFonts w:ascii="Century Gothic" w:eastAsiaTheme="minorHAnsi" w:hAnsi="Century Gothic" w:cstheme="minorHAnsi"/>
          <w:sz w:val="22"/>
        </w:rPr>
      </w:pPr>
      <w:r w:rsidRPr="002A13A8">
        <w:rPr>
          <w:rFonts w:ascii="Century Gothic" w:eastAsiaTheme="minorHAnsi" w:hAnsi="Century Gothic" w:cstheme="minorHAnsi"/>
          <w:sz w:val="22"/>
        </w:rPr>
        <w:t>Service de l’eau - Tél : 02 41 81 41 38</w:t>
      </w:r>
    </w:p>
    <w:p w14:paraId="2E35303D" w14:textId="77777777" w:rsidR="000522D4" w:rsidRPr="000522D4" w:rsidRDefault="000522D4" w:rsidP="000522D4">
      <w:pPr>
        <w:pStyle w:val="En-tte"/>
        <w:numPr>
          <w:ilvl w:val="3"/>
          <w:numId w:val="16"/>
        </w:numPr>
        <w:rPr>
          <w:rFonts w:ascii="Century Gothic" w:eastAsiaTheme="minorHAnsi" w:hAnsi="Century Gothic" w:cstheme="minorBidi"/>
          <w:b/>
          <w:sz w:val="22"/>
        </w:rPr>
      </w:pPr>
    </w:p>
    <w:p w14:paraId="2F2444A1" w14:textId="39C546CA" w:rsidR="000522D4" w:rsidRPr="00FB07E7" w:rsidRDefault="000522D4" w:rsidP="005353E7">
      <w:pPr>
        <w:pStyle w:val="En-tte"/>
        <w:numPr>
          <w:ilvl w:val="3"/>
          <w:numId w:val="16"/>
        </w:numPr>
        <w:rPr>
          <w:rFonts w:ascii="Times New Roman" w:hAnsi="Times New Roman"/>
          <w:b/>
          <w:bCs/>
          <w:sz w:val="22"/>
        </w:rPr>
      </w:pPr>
      <w:r>
        <w:rPr>
          <w:rFonts w:ascii="Century Gothic" w:eastAsiaTheme="minorHAnsi" w:hAnsi="Century Gothic" w:cstheme="minorBidi"/>
          <w:b/>
          <w:sz w:val="22"/>
        </w:rPr>
        <w:t>6</w:t>
      </w:r>
      <w:r w:rsidRPr="00CE2B17">
        <w:rPr>
          <w:rFonts w:ascii="Century Gothic" w:eastAsiaTheme="minorHAnsi" w:hAnsi="Century Gothic" w:cstheme="minorBidi"/>
          <w:b/>
          <w:sz w:val="22"/>
        </w:rPr>
        <w:t xml:space="preserve">/ </w:t>
      </w:r>
      <w:r>
        <w:rPr>
          <w:rFonts w:ascii="Century Gothic" w:eastAsiaTheme="minorHAnsi" w:hAnsi="Century Gothic" w:cstheme="minorBidi"/>
          <w:b/>
          <w:sz w:val="22"/>
        </w:rPr>
        <w:t>Annexes</w:t>
      </w:r>
    </w:p>
    <w:p w14:paraId="60397FA8" w14:textId="18E34CCA" w:rsidR="00FB07E7" w:rsidRDefault="00FB07E7" w:rsidP="00FB07E7">
      <w:pPr>
        <w:pStyle w:val="En-tte"/>
        <w:rPr>
          <w:rFonts w:ascii="Century Gothic" w:eastAsiaTheme="minorHAnsi" w:hAnsi="Century Gothic" w:cstheme="minorBidi"/>
          <w:b/>
          <w:sz w:val="22"/>
        </w:rPr>
      </w:pPr>
    </w:p>
    <w:p w14:paraId="6305A56A" w14:textId="6AA7D103" w:rsidR="00FB07E7" w:rsidRDefault="00FB07E7" w:rsidP="00FB07E7">
      <w:pPr>
        <w:pStyle w:val="En-tte"/>
        <w:rPr>
          <w:rFonts w:ascii="Century Gothic" w:eastAsiaTheme="minorHAnsi" w:hAnsi="Century Gothic" w:cstheme="minorBidi"/>
          <w:b/>
          <w:sz w:val="22"/>
        </w:rPr>
      </w:pPr>
    </w:p>
    <w:p w14:paraId="430A4372" w14:textId="7BCA40B4" w:rsidR="00FB07E7" w:rsidRDefault="00FB07E7" w:rsidP="00FB07E7">
      <w:pPr>
        <w:pStyle w:val="En-tte"/>
        <w:rPr>
          <w:rFonts w:ascii="Century Gothic" w:eastAsiaTheme="minorHAnsi" w:hAnsi="Century Gothic" w:cstheme="minorBidi"/>
          <w:b/>
          <w:sz w:val="22"/>
        </w:rPr>
      </w:pPr>
    </w:p>
    <w:p w14:paraId="192146DC" w14:textId="2CA81700" w:rsidR="00FB07E7" w:rsidRDefault="00FB07E7" w:rsidP="00FB07E7">
      <w:pPr>
        <w:pStyle w:val="En-tte"/>
        <w:rPr>
          <w:rFonts w:ascii="Century Gothic" w:eastAsiaTheme="minorHAnsi" w:hAnsi="Century Gothic" w:cstheme="minorBidi"/>
          <w:b/>
          <w:sz w:val="22"/>
        </w:rPr>
      </w:pPr>
    </w:p>
    <w:p w14:paraId="478733DD" w14:textId="28DD8F76" w:rsidR="00FB07E7" w:rsidRDefault="00FB07E7" w:rsidP="00FB07E7">
      <w:pPr>
        <w:pStyle w:val="En-tte"/>
        <w:rPr>
          <w:rFonts w:ascii="Century Gothic" w:eastAsiaTheme="minorHAnsi" w:hAnsi="Century Gothic" w:cstheme="minorBidi"/>
          <w:b/>
          <w:sz w:val="22"/>
        </w:rPr>
      </w:pPr>
    </w:p>
    <w:p w14:paraId="56D5641A" w14:textId="536E292A" w:rsidR="00FB07E7" w:rsidRDefault="00FB07E7" w:rsidP="00FB07E7">
      <w:pPr>
        <w:pStyle w:val="En-tte"/>
        <w:rPr>
          <w:rFonts w:ascii="Century Gothic" w:eastAsiaTheme="minorHAnsi" w:hAnsi="Century Gothic" w:cstheme="minorBidi"/>
          <w:b/>
          <w:sz w:val="22"/>
        </w:rPr>
      </w:pPr>
    </w:p>
    <w:p w14:paraId="442E036E" w14:textId="34465E44" w:rsidR="00FB07E7" w:rsidRDefault="00FB07E7" w:rsidP="00FB07E7">
      <w:pPr>
        <w:pStyle w:val="En-tte"/>
        <w:rPr>
          <w:rFonts w:ascii="Century Gothic" w:eastAsiaTheme="minorHAnsi" w:hAnsi="Century Gothic" w:cstheme="minorBidi"/>
          <w:b/>
          <w:sz w:val="22"/>
        </w:rPr>
      </w:pPr>
    </w:p>
    <w:p w14:paraId="0A9B1F3D" w14:textId="7C0A140A" w:rsidR="00FB07E7" w:rsidRDefault="00FB07E7" w:rsidP="00FB07E7">
      <w:pPr>
        <w:pStyle w:val="En-tte"/>
        <w:rPr>
          <w:rFonts w:ascii="Century Gothic" w:eastAsiaTheme="minorHAnsi" w:hAnsi="Century Gothic" w:cstheme="minorBidi"/>
          <w:b/>
          <w:sz w:val="22"/>
        </w:rPr>
      </w:pPr>
    </w:p>
    <w:p w14:paraId="29AFBC45" w14:textId="55D667A0" w:rsidR="00FB07E7" w:rsidRDefault="00FB07E7" w:rsidP="00FB07E7">
      <w:pPr>
        <w:pStyle w:val="En-tte"/>
        <w:rPr>
          <w:rFonts w:ascii="Century Gothic" w:eastAsiaTheme="minorHAnsi" w:hAnsi="Century Gothic" w:cstheme="minorBidi"/>
          <w:b/>
          <w:sz w:val="22"/>
        </w:rPr>
      </w:pPr>
    </w:p>
    <w:p w14:paraId="1D5246AF" w14:textId="786E6E14" w:rsidR="00FB07E7" w:rsidRDefault="00FB07E7" w:rsidP="00FB07E7">
      <w:pPr>
        <w:pStyle w:val="En-tte"/>
        <w:rPr>
          <w:rFonts w:ascii="Century Gothic" w:eastAsiaTheme="minorHAnsi" w:hAnsi="Century Gothic" w:cstheme="minorBidi"/>
          <w:b/>
          <w:sz w:val="22"/>
        </w:rPr>
      </w:pPr>
    </w:p>
    <w:p w14:paraId="3F81F28C" w14:textId="7742B34E" w:rsidR="00FB07E7" w:rsidRDefault="00FB07E7" w:rsidP="00FB07E7">
      <w:pPr>
        <w:pStyle w:val="En-tte"/>
        <w:rPr>
          <w:rFonts w:ascii="Century Gothic" w:eastAsiaTheme="minorHAnsi" w:hAnsi="Century Gothic" w:cstheme="minorBidi"/>
          <w:b/>
          <w:sz w:val="22"/>
        </w:rPr>
      </w:pPr>
    </w:p>
    <w:p w14:paraId="54E5BE5B" w14:textId="0CC48F30" w:rsidR="00FB07E7" w:rsidRDefault="00FB07E7" w:rsidP="00FB07E7">
      <w:pPr>
        <w:pStyle w:val="En-tte"/>
        <w:rPr>
          <w:rFonts w:ascii="Century Gothic" w:eastAsiaTheme="minorHAnsi" w:hAnsi="Century Gothic" w:cstheme="minorBidi"/>
          <w:b/>
          <w:sz w:val="22"/>
        </w:rPr>
      </w:pPr>
    </w:p>
    <w:p w14:paraId="6BB5EE04" w14:textId="3D78F787" w:rsidR="00FB07E7" w:rsidRDefault="00FB07E7" w:rsidP="00FB07E7">
      <w:pPr>
        <w:pStyle w:val="En-tte"/>
        <w:rPr>
          <w:rFonts w:ascii="Century Gothic" w:eastAsiaTheme="minorHAnsi" w:hAnsi="Century Gothic" w:cstheme="minorBidi"/>
          <w:b/>
          <w:sz w:val="22"/>
        </w:rPr>
      </w:pPr>
    </w:p>
    <w:p w14:paraId="64BCDB6B" w14:textId="3C3A8EDC" w:rsidR="00FB07E7" w:rsidRDefault="00FB07E7" w:rsidP="00FB07E7">
      <w:pPr>
        <w:pStyle w:val="En-tte"/>
        <w:rPr>
          <w:rFonts w:ascii="Century Gothic" w:eastAsiaTheme="minorHAnsi" w:hAnsi="Century Gothic" w:cstheme="minorBidi"/>
          <w:b/>
          <w:sz w:val="22"/>
        </w:rPr>
      </w:pPr>
    </w:p>
    <w:p w14:paraId="2D87527C" w14:textId="3B741A3E" w:rsidR="00FB07E7" w:rsidRDefault="00FB07E7" w:rsidP="00FB07E7">
      <w:pPr>
        <w:pStyle w:val="En-tte"/>
        <w:rPr>
          <w:rFonts w:ascii="Century Gothic" w:eastAsiaTheme="minorHAnsi" w:hAnsi="Century Gothic" w:cstheme="minorBidi"/>
          <w:b/>
          <w:sz w:val="22"/>
        </w:rPr>
      </w:pPr>
    </w:p>
    <w:p w14:paraId="701F8307" w14:textId="03F2A0D4" w:rsidR="00FB07E7" w:rsidRDefault="00FB07E7" w:rsidP="00FB07E7">
      <w:pPr>
        <w:pStyle w:val="En-tte"/>
        <w:rPr>
          <w:rFonts w:ascii="Century Gothic" w:eastAsiaTheme="minorHAnsi" w:hAnsi="Century Gothic" w:cstheme="minorBidi"/>
          <w:b/>
          <w:sz w:val="22"/>
        </w:rPr>
      </w:pPr>
    </w:p>
    <w:p w14:paraId="0E108D1B" w14:textId="2C01FF1B" w:rsidR="00FB07E7" w:rsidRDefault="00FB07E7" w:rsidP="00FB07E7">
      <w:pPr>
        <w:pStyle w:val="En-tte"/>
        <w:rPr>
          <w:rFonts w:ascii="Century Gothic" w:eastAsiaTheme="minorHAnsi" w:hAnsi="Century Gothic" w:cstheme="minorBidi"/>
          <w:b/>
          <w:sz w:val="22"/>
        </w:rPr>
      </w:pPr>
    </w:p>
    <w:p w14:paraId="63A46E6C" w14:textId="11E6E683" w:rsidR="00FB07E7" w:rsidRDefault="00FB07E7" w:rsidP="00FB07E7">
      <w:pPr>
        <w:pStyle w:val="En-tte"/>
        <w:rPr>
          <w:rFonts w:ascii="Century Gothic" w:eastAsiaTheme="minorHAnsi" w:hAnsi="Century Gothic" w:cstheme="minorBidi"/>
          <w:b/>
          <w:sz w:val="22"/>
        </w:rPr>
      </w:pPr>
    </w:p>
    <w:p w14:paraId="6225E503" w14:textId="77777777" w:rsidR="00FB07E7" w:rsidRPr="000522D4" w:rsidRDefault="00FB07E7" w:rsidP="00FB07E7">
      <w:pPr>
        <w:pStyle w:val="En-tte"/>
        <w:rPr>
          <w:rFonts w:ascii="Times New Roman" w:hAnsi="Times New Roman"/>
          <w:b/>
          <w:bCs/>
          <w:sz w:val="22"/>
        </w:rPr>
      </w:pPr>
    </w:p>
    <w:p w14:paraId="34C8EE2D" w14:textId="3E4D1B7C" w:rsidR="000522D4" w:rsidRPr="00660189" w:rsidRDefault="000522D4" w:rsidP="005353E7">
      <w:pPr>
        <w:pStyle w:val="En-tte"/>
        <w:tabs>
          <w:tab w:val="left" w:pos="284"/>
        </w:tabs>
        <w:spacing w:before="120" w:after="0"/>
        <w:contextualSpacing/>
        <w:rPr>
          <w:rFonts w:ascii="Times New Roman" w:hAnsi="Times New Roman"/>
          <w:b/>
          <w:bCs/>
          <w:sz w:val="22"/>
        </w:rPr>
      </w:pPr>
      <w:r w:rsidRPr="00660189">
        <w:rPr>
          <w:rFonts w:ascii="Times New Roman" w:hAnsi="Times New Roman"/>
          <w:b/>
          <w:bCs/>
          <w:sz w:val="22"/>
        </w:rPr>
        <w:lastRenderedPageBreak/>
        <w:t>Annexe relative à la liste des dépenses éligibles</w:t>
      </w:r>
    </w:p>
    <w:p w14:paraId="1B65F889" w14:textId="77777777" w:rsidR="000522D4" w:rsidRDefault="000522D4" w:rsidP="000522D4">
      <w:pPr>
        <w:pStyle w:val="En-tte"/>
        <w:numPr>
          <w:ilvl w:val="0"/>
          <w:numId w:val="16"/>
        </w:numPr>
        <w:tabs>
          <w:tab w:val="left" w:pos="284"/>
        </w:tabs>
        <w:spacing w:before="120" w:after="0"/>
        <w:contextualSpacing/>
        <w:rPr>
          <w:rFonts w:ascii="Times New Roman" w:hAnsi="Times New Roman"/>
          <w:sz w:val="24"/>
          <w:szCs w:val="24"/>
        </w:rPr>
      </w:pPr>
    </w:p>
    <w:tbl>
      <w:tblPr>
        <w:tblW w:w="9456" w:type="dxa"/>
        <w:tblInd w:w="55" w:type="dxa"/>
        <w:tblCellMar>
          <w:left w:w="70" w:type="dxa"/>
          <w:right w:w="70" w:type="dxa"/>
        </w:tblCellMar>
        <w:tblLook w:val="04A0" w:firstRow="1" w:lastRow="0" w:firstColumn="1" w:lastColumn="0" w:noHBand="0" w:noVBand="1"/>
      </w:tblPr>
      <w:tblGrid>
        <w:gridCol w:w="1925"/>
        <w:gridCol w:w="7531"/>
      </w:tblGrid>
      <w:tr w:rsidR="000522D4" w:rsidRPr="00CA25D2" w14:paraId="52AA77F0" w14:textId="77777777" w:rsidTr="005353E7">
        <w:trPr>
          <w:trHeight w:val="414"/>
        </w:trPr>
        <w:tc>
          <w:tcPr>
            <w:tcW w:w="192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1FC5E7C" w14:textId="77777777" w:rsidR="000522D4" w:rsidRPr="00660189" w:rsidRDefault="000522D4" w:rsidP="006A46FC">
            <w:pPr>
              <w:rPr>
                <w:rFonts w:ascii="Times New Roman" w:eastAsia="Times New Roman" w:hAnsi="Times New Roman" w:cs="Times New Roman"/>
                <w:b/>
                <w:bCs/>
                <w:color w:val="000000"/>
                <w:lang w:eastAsia="fr-FR"/>
              </w:rPr>
            </w:pPr>
            <w:r w:rsidRPr="00660189">
              <w:rPr>
                <w:rFonts w:ascii="Times New Roman" w:eastAsia="Times New Roman" w:hAnsi="Times New Roman" w:cs="Times New Roman"/>
                <w:b/>
                <w:bCs/>
                <w:color w:val="000000"/>
                <w:lang w:eastAsia="fr-FR"/>
              </w:rPr>
              <w:t>Grandes catégories</w:t>
            </w:r>
          </w:p>
        </w:tc>
        <w:tc>
          <w:tcPr>
            <w:tcW w:w="75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C19629" w14:textId="77777777" w:rsidR="000522D4" w:rsidRPr="00660189" w:rsidRDefault="000522D4" w:rsidP="006A46FC">
            <w:pPr>
              <w:rPr>
                <w:rFonts w:ascii="Times New Roman" w:eastAsia="Times New Roman" w:hAnsi="Times New Roman" w:cs="Times New Roman"/>
                <w:b/>
                <w:bCs/>
                <w:color w:val="000000"/>
                <w:lang w:eastAsia="fr-FR"/>
              </w:rPr>
            </w:pPr>
            <w:r w:rsidRPr="00660189">
              <w:rPr>
                <w:rFonts w:ascii="Times New Roman" w:eastAsia="Times New Roman" w:hAnsi="Times New Roman" w:cs="Times New Roman"/>
                <w:b/>
                <w:bCs/>
                <w:color w:val="000000"/>
                <w:lang w:eastAsia="fr-FR"/>
              </w:rPr>
              <w:t>Type d’investissements éligibles</w:t>
            </w:r>
          </w:p>
        </w:tc>
      </w:tr>
      <w:tr w:rsidR="000522D4" w:rsidRPr="00CA25D2" w14:paraId="70D47E5E" w14:textId="77777777" w:rsidTr="005353E7">
        <w:trPr>
          <w:trHeight w:val="414"/>
        </w:trPr>
        <w:tc>
          <w:tcPr>
            <w:tcW w:w="19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C8123E"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Investissements liés à la construction (immobilier)</w:t>
            </w:r>
          </w:p>
        </w:tc>
        <w:tc>
          <w:tcPr>
            <w:tcW w:w="7531" w:type="dxa"/>
            <w:tcBorders>
              <w:top w:val="single" w:sz="4" w:space="0" w:color="auto"/>
              <w:left w:val="nil"/>
              <w:bottom w:val="single" w:sz="4" w:space="0" w:color="auto"/>
              <w:right w:val="single" w:sz="4" w:space="0" w:color="auto"/>
            </w:tcBorders>
            <w:shd w:val="clear" w:color="auto" w:fill="auto"/>
            <w:vAlign w:val="bottom"/>
            <w:hideMark/>
          </w:tcPr>
          <w:p w14:paraId="4670CF7B"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Gros œuvre : terrassement, fondations, maçonnerie, murs, dalles, charpentes hors couvertures gouttières et descentes</w:t>
            </w:r>
          </w:p>
        </w:tc>
      </w:tr>
      <w:tr w:rsidR="000522D4" w:rsidRPr="00CA25D2" w14:paraId="1F9A3CED" w14:textId="77777777" w:rsidTr="005353E7">
        <w:trPr>
          <w:trHeight w:val="613"/>
        </w:trPr>
        <w:tc>
          <w:tcPr>
            <w:tcW w:w="1925" w:type="dxa"/>
            <w:vMerge/>
            <w:tcBorders>
              <w:top w:val="single" w:sz="4" w:space="0" w:color="auto"/>
              <w:left w:val="single" w:sz="4" w:space="0" w:color="auto"/>
              <w:bottom w:val="single" w:sz="4" w:space="0" w:color="000000"/>
              <w:right w:val="single" w:sz="4" w:space="0" w:color="auto"/>
            </w:tcBorders>
            <w:vAlign w:val="center"/>
            <w:hideMark/>
          </w:tcPr>
          <w:p w14:paraId="2300D070"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vAlign w:val="bottom"/>
            <w:hideMark/>
          </w:tcPr>
          <w:p w14:paraId="71492EED"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 xml:space="preserve">Second œuvre : couverture, bardage, </w:t>
            </w:r>
            <w:r w:rsidRPr="00660189">
              <w:rPr>
                <w:rFonts w:ascii="Times New Roman" w:eastAsia="Times New Roman" w:hAnsi="Times New Roman" w:cs="Times New Roman"/>
                <w:lang w:eastAsia="fr-FR"/>
              </w:rPr>
              <w:t>électricité, plomberie, chauffage, revêtements de sols, revêtements de murs, isol</w:t>
            </w:r>
            <w:r w:rsidRPr="00660189">
              <w:rPr>
                <w:rFonts w:ascii="Times New Roman" w:eastAsia="Times New Roman" w:hAnsi="Times New Roman" w:cs="Times New Roman"/>
                <w:color w:val="000000"/>
                <w:lang w:eastAsia="fr-FR"/>
              </w:rPr>
              <w:t>ation thermique ou phonique, menuiserie, plâtrerie, cloisons sèches, murs, plafonds, portes, fenêtres</w:t>
            </w:r>
          </w:p>
        </w:tc>
      </w:tr>
      <w:tr w:rsidR="000522D4" w:rsidRPr="00CA25D2" w14:paraId="6B2F5221" w14:textId="77777777" w:rsidTr="005353E7">
        <w:trPr>
          <w:trHeight w:val="403"/>
        </w:trPr>
        <w:tc>
          <w:tcPr>
            <w:tcW w:w="1925" w:type="dxa"/>
            <w:tcBorders>
              <w:top w:val="nil"/>
              <w:left w:val="single" w:sz="4" w:space="0" w:color="auto"/>
              <w:right w:val="single" w:sz="4" w:space="0" w:color="auto"/>
            </w:tcBorders>
            <w:shd w:val="clear" w:color="auto" w:fill="auto"/>
            <w:vAlign w:val="center"/>
          </w:tcPr>
          <w:p w14:paraId="7B200944"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17106640"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transformation et matériel associé, y compris le petit matériel</w:t>
            </w:r>
            <w:r w:rsidRPr="00660189">
              <w:rPr>
                <w:rFonts w:ascii="Times New Roman" w:eastAsia="Times New Roman" w:hAnsi="Times New Roman" w:cs="Times New Roman"/>
                <w:color w:val="000000"/>
                <w:lang w:eastAsia="fr-FR"/>
              </w:rPr>
              <w:t xml:space="preserve"> et les équipements techniques (dont pH-mètre, thermomètre, sondes, petite étuve, réfractomètre).</w:t>
            </w:r>
          </w:p>
        </w:tc>
      </w:tr>
      <w:tr w:rsidR="000522D4" w:rsidRPr="00CA25D2" w14:paraId="22837522" w14:textId="77777777" w:rsidTr="005353E7">
        <w:trPr>
          <w:trHeight w:val="403"/>
        </w:trPr>
        <w:tc>
          <w:tcPr>
            <w:tcW w:w="1925" w:type="dxa"/>
            <w:tcBorders>
              <w:top w:val="nil"/>
              <w:left w:val="single" w:sz="4" w:space="0" w:color="auto"/>
              <w:right w:val="single" w:sz="4" w:space="0" w:color="auto"/>
            </w:tcBorders>
            <w:shd w:val="clear" w:color="auto" w:fill="auto"/>
            <w:vAlign w:val="center"/>
          </w:tcPr>
          <w:p w14:paraId="116EB4A0"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5F1422AF"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d’aménagement (dont tables, plans de travail, étagères, vestiaires, chariots) et de stockage (dont silos)</w:t>
            </w:r>
          </w:p>
        </w:tc>
      </w:tr>
      <w:tr w:rsidR="000522D4" w:rsidRPr="00CA25D2" w14:paraId="2A4B738F" w14:textId="77777777" w:rsidTr="005353E7">
        <w:trPr>
          <w:trHeight w:val="200"/>
        </w:trPr>
        <w:tc>
          <w:tcPr>
            <w:tcW w:w="1925" w:type="dxa"/>
            <w:vMerge w:val="restart"/>
            <w:tcBorders>
              <w:left w:val="single" w:sz="4" w:space="0" w:color="auto"/>
              <w:right w:val="single" w:sz="4" w:space="0" w:color="auto"/>
            </w:tcBorders>
            <w:vAlign w:val="center"/>
          </w:tcPr>
          <w:p w14:paraId="078BD266" w14:textId="77777777" w:rsidR="000522D4" w:rsidRDefault="000522D4" w:rsidP="006A46FC">
            <w:pPr>
              <w:rPr>
                <w:rFonts w:ascii="Times New Roman" w:hAnsi="Times New Roman" w:cs="Times New Roman"/>
              </w:rPr>
            </w:pPr>
            <w:r w:rsidRPr="00660189">
              <w:rPr>
                <w:rFonts w:ascii="Times New Roman" w:hAnsi="Times New Roman" w:cs="Times New Roman"/>
              </w:rPr>
              <w:t>Matériels et équipements</w:t>
            </w:r>
            <w:r w:rsidR="00FD1A5E">
              <w:rPr>
                <w:rFonts w:ascii="Times New Roman" w:hAnsi="Times New Roman" w:cs="Times New Roman"/>
              </w:rPr>
              <w:t xml:space="preserve"> (dont les matériels reconditionnés ou d’occasions)</w:t>
            </w:r>
          </w:p>
          <w:p w14:paraId="6E918E92" w14:textId="77777777" w:rsidR="00FD1A5E" w:rsidRDefault="00FD1A5E" w:rsidP="006A46FC">
            <w:pPr>
              <w:rPr>
                <w:rFonts w:ascii="Times New Roman" w:eastAsia="Times New Roman" w:hAnsi="Times New Roman" w:cs="Times New Roman"/>
                <w:color w:val="000000"/>
                <w:lang w:eastAsia="fr-FR"/>
              </w:rPr>
            </w:pPr>
          </w:p>
          <w:p w14:paraId="5C89E444" w14:textId="77777777" w:rsidR="00FD1A5E" w:rsidRDefault="00FD1A5E" w:rsidP="006A46FC">
            <w:pPr>
              <w:rPr>
                <w:rFonts w:ascii="Times New Roman" w:eastAsia="Times New Roman" w:hAnsi="Times New Roman" w:cs="Times New Roman"/>
                <w:color w:val="000000"/>
                <w:lang w:eastAsia="fr-FR"/>
              </w:rPr>
            </w:pPr>
          </w:p>
          <w:p w14:paraId="28315FDC" w14:textId="0CECD7CB" w:rsidR="00FD1A5E" w:rsidRPr="00660189" w:rsidRDefault="00FD1A5E"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093751D8"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conditionnement, d’emballage, de marquage et d’étiquetage</w:t>
            </w:r>
          </w:p>
        </w:tc>
      </w:tr>
      <w:tr w:rsidR="000522D4" w:rsidRPr="00CA25D2" w14:paraId="28FA2782" w14:textId="77777777" w:rsidTr="005353E7">
        <w:trPr>
          <w:trHeight w:val="200"/>
        </w:trPr>
        <w:tc>
          <w:tcPr>
            <w:tcW w:w="1925" w:type="dxa"/>
            <w:vMerge/>
            <w:tcBorders>
              <w:left w:val="single" w:sz="4" w:space="0" w:color="auto"/>
              <w:right w:val="single" w:sz="4" w:space="0" w:color="auto"/>
            </w:tcBorders>
            <w:vAlign w:val="center"/>
          </w:tcPr>
          <w:p w14:paraId="2B9CEF3F"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3E930380"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commercialisation</w:t>
            </w:r>
            <w:r>
              <w:rPr>
                <w:rFonts w:ascii="Times New Roman" w:hAnsi="Times New Roman" w:cs="Times New Roman"/>
              </w:rPr>
              <w:t xml:space="preserve"> </w:t>
            </w:r>
          </w:p>
        </w:tc>
      </w:tr>
      <w:tr w:rsidR="000522D4" w:rsidRPr="00CA25D2" w14:paraId="5BBEF666" w14:textId="77777777" w:rsidTr="005353E7">
        <w:trPr>
          <w:trHeight w:val="403"/>
        </w:trPr>
        <w:tc>
          <w:tcPr>
            <w:tcW w:w="1925" w:type="dxa"/>
            <w:vMerge/>
            <w:tcBorders>
              <w:left w:val="single" w:sz="4" w:space="0" w:color="auto"/>
              <w:right w:val="single" w:sz="4" w:space="0" w:color="auto"/>
            </w:tcBorders>
            <w:vAlign w:val="center"/>
            <w:hideMark/>
          </w:tcPr>
          <w:p w14:paraId="1FCA702F"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hideMark/>
          </w:tcPr>
          <w:p w14:paraId="343E7944"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mesure (dont balances)</w:t>
            </w:r>
          </w:p>
        </w:tc>
      </w:tr>
      <w:tr w:rsidR="000522D4" w:rsidRPr="00CA25D2" w14:paraId="69BF9893" w14:textId="77777777" w:rsidTr="005353E7">
        <w:trPr>
          <w:trHeight w:val="403"/>
        </w:trPr>
        <w:tc>
          <w:tcPr>
            <w:tcW w:w="1925" w:type="dxa"/>
            <w:vMerge/>
            <w:tcBorders>
              <w:left w:val="single" w:sz="4" w:space="0" w:color="auto"/>
              <w:right w:val="single" w:sz="4" w:space="0" w:color="auto"/>
            </w:tcBorders>
            <w:vAlign w:val="center"/>
            <w:hideMark/>
          </w:tcPr>
          <w:p w14:paraId="47FF98F2"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339B595A"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d’hygiène (dont lave-mains, évier, désinsectiseur et centrale de lavage)</w:t>
            </w:r>
          </w:p>
        </w:tc>
      </w:tr>
      <w:tr w:rsidR="000522D4" w:rsidRPr="00CA25D2" w14:paraId="306E59FA" w14:textId="77777777" w:rsidTr="005353E7">
        <w:trPr>
          <w:trHeight w:val="403"/>
        </w:trPr>
        <w:tc>
          <w:tcPr>
            <w:tcW w:w="1925" w:type="dxa"/>
            <w:vMerge/>
            <w:tcBorders>
              <w:left w:val="single" w:sz="4" w:space="0" w:color="auto"/>
              <w:right w:val="single" w:sz="4" w:space="0" w:color="auto"/>
            </w:tcBorders>
            <w:vAlign w:val="center"/>
            <w:hideMark/>
          </w:tcPr>
          <w:p w14:paraId="764D3928"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0B96BA1B"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production de froid, de régulation de température et d’ambiance (dont climatisation, caissons et caisses isothermes, systèmes d’enregistrement, vitrines et équipements frigorifiques installés dans des véhicules ou des remorques)</w:t>
            </w:r>
          </w:p>
        </w:tc>
      </w:tr>
      <w:tr w:rsidR="000522D4" w:rsidRPr="00CA25D2" w14:paraId="6195318C" w14:textId="77777777" w:rsidTr="005353E7">
        <w:trPr>
          <w:trHeight w:val="424"/>
        </w:trPr>
        <w:tc>
          <w:tcPr>
            <w:tcW w:w="1925" w:type="dxa"/>
            <w:vMerge/>
            <w:tcBorders>
              <w:left w:val="single" w:sz="4" w:space="0" w:color="auto"/>
              <w:bottom w:val="single" w:sz="4" w:space="0" w:color="auto"/>
              <w:right w:val="single" w:sz="4" w:space="0" w:color="auto"/>
            </w:tcBorders>
            <w:shd w:val="clear" w:color="auto" w:fill="auto"/>
            <w:vAlign w:val="center"/>
            <w:hideMark/>
          </w:tcPr>
          <w:p w14:paraId="147EA031"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noWrap/>
          </w:tcPr>
          <w:p w14:paraId="58D43F82"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hAnsi="Times New Roman" w:cs="Times New Roman"/>
              </w:rPr>
              <w:t>Matériel de manutention</w:t>
            </w:r>
          </w:p>
        </w:tc>
      </w:tr>
      <w:tr w:rsidR="000522D4" w:rsidRPr="00CA25D2" w14:paraId="34F85A4B" w14:textId="77777777" w:rsidTr="005353E7">
        <w:trPr>
          <w:trHeight w:val="605"/>
        </w:trPr>
        <w:tc>
          <w:tcPr>
            <w:tcW w:w="1925" w:type="dxa"/>
            <w:vMerge w:val="restart"/>
            <w:tcBorders>
              <w:top w:val="nil"/>
              <w:left w:val="single" w:sz="4" w:space="0" w:color="auto"/>
              <w:bottom w:val="single" w:sz="4" w:space="0" w:color="000000"/>
              <w:right w:val="single" w:sz="4" w:space="0" w:color="auto"/>
            </w:tcBorders>
            <w:shd w:val="clear" w:color="auto" w:fill="auto"/>
            <w:vAlign w:val="center"/>
            <w:hideMark/>
          </w:tcPr>
          <w:p w14:paraId="339AA11A"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Dépenses immatérielles (</w:t>
            </w:r>
            <w:r w:rsidRPr="000522D4">
              <w:rPr>
                <w:rFonts w:ascii="Times New Roman" w:eastAsia="Times New Roman" w:hAnsi="Times New Roman" w:cs="Times New Roman"/>
                <w:color w:val="000000"/>
                <w:lang w:eastAsia="fr-FR"/>
              </w:rPr>
              <w:t>dans la limite de 10% des investissements directement liés au projet)</w:t>
            </w:r>
          </w:p>
        </w:tc>
        <w:tc>
          <w:tcPr>
            <w:tcW w:w="7531" w:type="dxa"/>
            <w:tcBorders>
              <w:top w:val="nil"/>
              <w:left w:val="nil"/>
              <w:bottom w:val="single" w:sz="4" w:space="0" w:color="auto"/>
              <w:right w:val="single" w:sz="4" w:space="0" w:color="auto"/>
            </w:tcBorders>
            <w:shd w:val="clear" w:color="auto" w:fill="auto"/>
            <w:vAlign w:val="center"/>
            <w:hideMark/>
          </w:tcPr>
          <w:p w14:paraId="4E2322BC"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Liés aux investissements physiques : honoraires d’architecte, étude de faisabilité, étude de marché, étude de sol, plans, maîtrise d’œuvre (dont conformité technique, suivi du chantier, conduites des travaux).</w:t>
            </w:r>
          </w:p>
        </w:tc>
      </w:tr>
      <w:tr w:rsidR="000522D4" w:rsidRPr="00CA25D2" w14:paraId="49BB0478" w14:textId="77777777" w:rsidTr="005353E7">
        <w:trPr>
          <w:trHeight w:val="567"/>
        </w:trPr>
        <w:tc>
          <w:tcPr>
            <w:tcW w:w="1925" w:type="dxa"/>
            <w:vMerge/>
            <w:tcBorders>
              <w:top w:val="nil"/>
              <w:left w:val="single" w:sz="4" w:space="0" w:color="auto"/>
              <w:bottom w:val="single" w:sz="4" w:space="0" w:color="000000"/>
              <w:right w:val="single" w:sz="4" w:space="0" w:color="auto"/>
            </w:tcBorders>
            <w:vAlign w:val="center"/>
            <w:hideMark/>
          </w:tcPr>
          <w:p w14:paraId="36ACBA7A" w14:textId="77777777" w:rsidR="000522D4" w:rsidRPr="00660189" w:rsidRDefault="000522D4" w:rsidP="006A46FC">
            <w:pPr>
              <w:rPr>
                <w:rFonts w:ascii="Times New Roman" w:eastAsia="Times New Roman" w:hAnsi="Times New Roman" w:cs="Times New Roman"/>
                <w:color w:val="000000"/>
                <w:lang w:eastAsia="fr-FR"/>
              </w:rPr>
            </w:pPr>
          </w:p>
        </w:tc>
        <w:tc>
          <w:tcPr>
            <w:tcW w:w="7531" w:type="dxa"/>
            <w:tcBorders>
              <w:top w:val="nil"/>
              <w:left w:val="nil"/>
              <w:bottom w:val="single" w:sz="4" w:space="0" w:color="auto"/>
              <w:right w:val="single" w:sz="4" w:space="0" w:color="auto"/>
            </w:tcBorders>
            <w:shd w:val="clear" w:color="auto" w:fill="auto"/>
            <w:vAlign w:val="center"/>
            <w:hideMark/>
          </w:tcPr>
          <w:p w14:paraId="1B7A9BE3" w14:textId="77777777" w:rsidR="000522D4" w:rsidRPr="00660189" w:rsidRDefault="000522D4" w:rsidP="006A46FC">
            <w:pPr>
              <w:rPr>
                <w:rFonts w:ascii="Times New Roman" w:eastAsia="Times New Roman" w:hAnsi="Times New Roman" w:cs="Times New Roman"/>
                <w:color w:val="000000"/>
                <w:lang w:eastAsia="fr-FR"/>
              </w:rPr>
            </w:pPr>
            <w:r w:rsidRPr="00660189">
              <w:rPr>
                <w:rFonts w:ascii="Times New Roman" w:eastAsia="Times New Roman" w:hAnsi="Times New Roman" w:cs="Times New Roman"/>
                <w:color w:val="000000"/>
                <w:lang w:eastAsia="fr-FR"/>
              </w:rPr>
              <w:t>Dépenses de communication et de promotion liées à la publicité sur le lieu de vente, dont plaquettes d'information et achat d'espace (presse, radio), création d'un site internet, signalétique</w:t>
            </w:r>
          </w:p>
        </w:tc>
      </w:tr>
    </w:tbl>
    <w:p w14:paraId="26A7417E" w14:textId="77777777" w:rsidR="000522D4" w:rsidRPr="00660189" w:rsidRDefault="000522D4" w:rsidP="000522D4">
      <w:pPr>
        <w:pStyle w:val="En-tte"/>
        <w:numPr>
          <w:ilvl w:val="0"/>
          <w:numId w:val="16"/>
        </w:numPr>
        <w:tabs>
          <w:tab w:val="left" w:pos="284"/>
        </w:tabs>
        <w:spacing w:before="120" w:after="0"/>
        <w:contextualSpacing/>
        <w:rPr>
          <w:rFonts w:ascii="Times New Roman" w:hAnsi="Times New Roman"/>
          <w:sz w:val="24"/>
          <w:szCs w:val="24"/>
        </w:rPr>
      </w:pPr>
    </w:p>
    <w:p w14:paraId="301C61A5" w14:textId="77777777" w:rsidR="00C2591C" w:rsidRDefault="00C2591C" w:rsidP="00D3265B">
      <w:pPr>
        <w:pStyle w:val="En-tte"/>
        <w:numPr>
          <w:ilvl w:val="0"/>
          <w:numId w:val="16"/>
        </w:numPr>
        <w:rPr>
          <w:rFonts w:ascii="Century Gothic" w:eastAsiaTheme="minorHAnsi" w:hAnsi="Century Gothic" w:cstheme="minorBidi"/>
          <w:b/>
          <w:sz w:val="22"/>
        </w:rPr>
      </w:pPr>
    </w:p>
    <w:p w14:paraId="6C2069B4" w14:textId="45FFFE8D" w:rsidR="00C2591C" w:rsidRPr="00024F0E" w:rsidRDefault="00C2591C" w:rsidP="00024F0E">
      <w:pPr>
        <w:pStyle w:val="En-tte"/>
        <w:rPr>
          <w:rFonts w:ascii="Century Gothic" w:eastAsiaTheme="minorHAnsi" w:hAnsi="Century Gothic" w:cstheme="minorBidi"/>
          <w:b/>
          <w:sz w:val="22"/>
        </w:rPr>
      </w:pPr>
    </w:p>
    <w:p w14:paraId="6AE8A086" w14:textId="5CA68AFF" w:rsidR="0026052A" w:rsidRDefault="0026052A" w:rsidP="009004E9">
      <w:pPr>
        <w:pStyle w:val="Default"/>
        <w:jc w:val="both"/>
        <w:rPr>
          <w:rFonts w:ascii="Century Gothic" w:hAnsi="Century Gothic" w:cstheme="minorBidi"/>
          <w:color w:val="auto"/>
          <w:sz w:val="22"/>
          <w:szCs w:val="22"/>
        </w:rPr>
      </w:pPr>
    </w:p>
    <w:sectPr w:rsidR="0026052A" w:rsidSect="00AA78D9">
      <w:headerReference w:type="default" r:id="rId9"/>
      <w:footerReference w:type="default" r:id="rId10"/>
      <w:pgSz w:w="11906" w:h="16838"/>
      <w:pgMar w:top="1417" w:right="566"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EA1D2" w14:textId="77777777" w:rsidR="000F0A32" w:rsidRDefault="000F0A32" w:rsidP="00662165">
      <w:pPr>
        <w:spacing w:after="0" w:line="240" w:lineRule="auto"/>
      </w:pPr>
      <w:r>
        <w:separator/>
      </w:r>
    </w:p>
  </w:endnote>
  <w:endnote w:type="continuationSeparator" w:id="0">
    <w:p w14:paraId="0F93B56D" w14:textId="77777777" w:rsidR="000F0A32" w:rsidRDefault="000F0A32" w:rsidP="0066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E43C" w14:textId="55475CD4" w:rsidR="00EA322F" w:rsidRPr="00A353DF" w:rsidRDefault="00A353DF" w:rsidP="00B56BE3">
    <w:pPr>
      <w:pStyle w:val="Pieddepage"/>
      <w:jc w:val="center"/>
    </w:pPr>
    <w:r w:rsidRPr="00A353DF">
      <w:rPr>
        <w:rFonts w:ascii="Century Gothic" w:hAnsi="Century Gothic"/>
        <w:b/>
      </w:rPr>
      <w:t>Appel à projets 2026 - Aide à la transformation et à la commercialisation de produits agricoles à la ferme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39506" w14:textId="77777777" w:rsidR="000F0A32" w:rsidRDefault="000F0A32" w:rsidP="00662165">
      <w:pPr>
        <w:spacing w:after="0" w:line="240" w:lineRule="auto"/>
      </w:pPr>
      <w:r>
        <w:separator/>
      </w:r>
    </w:p>
  </w:footnote>
  <w:footnote w:type="continuationSeparator" w:id="0">
    <w:p w14:paraId="568EA8AB" w14:textId="77777777" w:rsidR="000F0A32" w:rsidRDefault="000F0A32" w:rsidP="00662165">
      <w:pPr>
        <w:spacing w:after="0" w:line="240" w:lineRule="auto"/>
      </w:pPr>
      <w:r>
        <w:continuationSeparator/>
      </w:r>
    </w:p>
  </w:footnote>
  <w:footnote w:id="1">
    <w:p w14:paraId="21F644AD" w14:textId="45F8A539" w:rsidR="005856B2" w:rsidRPr="009E446A" w:rsidRDefault="005856B2">
      <w:pPr>
        <w:pStyle w:val="Notedebasdepage"/>
        <w:rPr>
          <w:rFonts w:ascii="Century Gothic" w:eastAsia="Calibri" w:hAnsi="Century Gothic" w:cs="Times New Roman"/>
          <w:i/>
          <w:sz w:val="18"/>
          <w:szCs w:val="18"/>
        </w:rPr>
      </w:pPr>
      <w:r w:rsidRPr="009E446A">
        <w:rPr>
          <w:rFonts w:ascii="Century Gothic" w:eastAsia="Calibri" w:hAnsi="Century Gothic" w:cs="Times New Roman"/>
          <w:i/>
          <w:sz w:val="18"/>
          <w:szCs w:val="18"/>
        </w:rPr>
        <w:footnoteRef/>
      </w:r>
      <w:r w:rsidRPr="009E446A">
        <w:rPr>
          <w:rFonts w:ascii="Century Gothic" w:eastAsia="Calibri" w:hAnsi="Century Gothic" w:cs="Times New Roman"/>
          <w:i/>
          <w:sz w:val="18"/>
          <w:szCs w:val="18"/>
        </w:rPr>
        <w:t xml:space="preserve"> </w:t>
      </w:r>
      <w:proofErr w:type="gramStart"/>
      <w:r w:rsidRPr="009E446A">
        <w:rPr>
          <w:rFonts w:ascii="Century Gothic" w:eastAsia="Calibri" w:hAnsi="Century Gothic" w:cs="Times New Roman"/>
          <w:i/>
          <w:sz w:val="18"/>
          <w:szCs w:val="18"/>
        </w:rPr>
        <w:t>au</w:t>
      </w:r>
      <w:proofErr w:type="gramEnd"/>
      <w:r w:rsidRPr="009E446A">
        <w:rPr>
          <w:rFonts w:ascii="Century Gothic" w:eastAsia="Calibri" w:hAnsi="Century Gothic" w:cs="Times New Roman"/>
          <w:i/>
          <w:sz w:val="18"/>
          <w:szCs w:val="18"/>
        </w:rPr>
        <w:t xml:space="preserve"> sens de la définition nationale du décret 2008-1354 du 18 décembre 2008, découlant de la recommandation européenne 2003/361/CE de la Commission du 6 mai 2003</w:t>
      </w:r>
    </w:p>
  </w:footnote>
  <w:footnote w:id="2">
    <w:p w14:paraId="531FA022" w14:textId="0B418AA2" w:rsidR="005856B2" w:rsidRDefault="005856B2">
      <w:pPr>
        <w:pStyle w:val="Notedebasdepage"/>
      </w:pPr>
      <w:r w:rsidRPr="009E446A">
        <w:rPr>
          <w:rFonts w:ascii="Century Gothic" w:eastAsia="Calibri" w:hAnsi="Century Gothic" w:cs="Times New Roman"/>
          <w:i/>
          <w:sz w:val="18"/>
          <w:szCs w:val="18"/>
        </w:rPr>
        <w:footnoteRef/>
      </w:r>
      <w:r w:rsidRPr="009E446A">
        <w:rPr>
          <w:rFonts w:ascii="Century Gothic" w:eastAsia="Calibri" w:hAnsi="Century Gothic" w:cs="Times New Roman"/>
          <w:i/>
          <w:sz w:val="18"/>
          <w:szCs w:val="18"/>
        </w:rPr>
        <w:t xml:space="preserve"> </w:t>
      </w:r>
      <w:proofErr w:type="gramStart"/>
      <w:r w:rsidRPr="009E446A">
        <w:rPr>
          <w:rFonts w:ascii="Century Gothic" w:eastAsia="Calibri" w:hAnsi="Century Gothic" w:cs="Times New Roman"/>
          <w:i/>
          <w:sz w:val="18"/>
          <w:szCs w:val="18"/>
        </w:rPr>
        <w:t>issus</w:t>
      </w:r>
      <w:proofErr w:type="gramEnd"/>
      <w:r w:rsidRPr="009E446A">
        <w:rPr>
          <w:rFonts w:ascii="Century Gothic" w:eastAsia="Calibri" w:hAnsi="Century Gothic" w:cs="Times New Roman"/>
          <w:i/>
          <w:sz w:val="18"/>
          <w:szCs w:val="18"/>
        </w:rPr>
        <w:t xml:space="preserve"> en majorité (&gt; à 50% en volume produit ou chiffre d’affaires) de l’exploitation ou des exploitations porteuse</w:t>
      </w:r>
      <w:r w:rsidR="005E3532">
        <w:rPr>
          <w:rFonts w:ascii="Century Gothic" w:eastAsia="Calibri" w:hAnsi="Century Gothic" w:cs="Times New Roman"/>
          <w:i/>
          <w:sz w:val="18"/>
          <w:szCs w:val="18"/>
        </w:rPr>
        <w:t>(</w:t>
      </w:r>
      <w:r w:rsidRPr="009E446A">
        <w:rPr>
          <w:rFonts w:ascii="Century Gothic" w:eastAsia="Calibri" w:hAnsi="Century Gothic" w:cs="Times New Roman"/>
          <w:i/>
          <w:sz w:val="18"/>
          <w:szCs w:val="18"/>
        </w:rPr>
        <w:t>s</w:t>
      </w:r>
      <w:r w:rsidR="005E3532">
        <w:rPr>
          <w:rFonts w:ascii="Century Gothic" w:eastAsia="Calibri" w:hAnsi="Century Gothic" w:cs="Times New Roman"/>
          <w:i/>
          <w:sz w:val="18"/>
          <w:szCs w:val="18"/>
        </w:rPr>
        <w:t>)</w:t>
      </w:r>
      <w:r w:rsidRPr="009E446A">
        <w:rPr>
          <w:rFonts w:ascii="Century Gothic" w:eastAsia="Calibri" w:hAnsi="Century Gothic" w:cs="Times New Roman"/>
          <w:i/>
          <w:sz w:val="18"/>
          <w:szCs w:val="18"/>
        </w:rPr>
        <w:t xml:space="preserve"> du projet</w:t>
      </w:r>
    </w:p>
  </w:footnote>
  <w:footnote w:id="3">
    <w:p w14:paraId="649002B4" w14:textId="6CCA63C3" w:rsidR="004B760D" w:rsidRDefault="004B760D">
      <w:pPr>
        <w:pStyle w:val="Notedebasdepage"/>
      </w:pPr>
      <w:r w:rsidRPr="00A105B8">
        <w:rPr>
          <w:rFonts w:ascii="Century Gothic" w:eastAsia="Calibri" w:hAnsi="Century Gothic" w:cs="Times New Roman"/>
          <w:i/>
          <w:sz w:val="18"/>
          <w:szCs w:val="18"/>
        </w:rPr>
        <w:footnoteRef/>
      </w:r>
      <w:r w:rsidRPr="00A105B8">
        <w:rPr>
          <w:rFonts w:ascii="Century Gothic" w:eastAsia="Calibri" w:hAnsi="Century Gothic" w:cs="Times New Roman"/>
          <w:i/>
          <w:sz w:val="18"/>
          <w:szCs w:val="18"/>
        </w:rPr>
        <w:t xml:space="preserve"> </w:t>
      </w:r>
      <w:r w:rsidRPr="00024F0E">
        <w:rPr>
          <w:rFonts w:ascii="Century Gothic" w:eastAsia="Calibri" w:hAnsi="Century Gothic" w:cs="Times New Roman"/>
          <w:i/>
          <w:sz w:val="18"/>
          <w:szCs w:val="18"/>
        </w:rPr>
        <w:t>Annexe 1</w:t>
      </w:r>
      <w:r w:rsidR="00024F0E" w:rsidRPr="00024F0E">
        <w:rPr>
          <w:rFonts w:ascii="Century Gothic" w:eastAsia="Calibri" w:hAnsi="Century Gothic" w:cs="Times New Roman"/>
          <w:i/>
          <w:sz w:val="18"/>
          <w:szCs w:val="18"/>
        </w:rPr>
        <w:t>-</w:t>
      </w:r>
      <w:r w:rsidRPr="00024F0E">
        <w:rPr>
          <w:rFonts w:ascii="Century Gothic" w:eastAsia="Calibri" w:hAnsi="Century Gothic" w:cs="Times New Roman"/>
          <w:i/>
          <w:sz w:val="18"/>
          <w:szCs w:val="18"/>
        </w:rPr>
        <w:t xml:space="preserve"> Liste </w:t>
      </w:r>
      <w:r w:rsidR="00024F0E" w:rsidRPr="00024F0E">
        <w:rPr>
          <w:rFonts w:ascii="Century Gothic" w:eastAsia="Calibri" w:hAnsi="Century Gothic" w:cs="Times New Roman"/>
          <w:i/>
          <w:sz w:val="18"/>
          <w:szCs w:val="18"/>
        </w:rPr>
        <w:t>prévue à l’article III-226 de la constitution</w:t>
      </w:r>
      <w:r w:rsidRPr="00024F0E">
        <w:rPr>
          <w:rFonts w:ascii="Century Gothic" w:eastAsia="Calibri" w:hAnsi="Century Gothic" w:cs="Times New Roman"/>
          <w:i/>
          <w:sz w:val="18"/>
          <w:szCs w:val="18"/>
        </w:rPr>
        <w:t xml:space="preserve"> du traité de fonctionnement de l’Union européenne-TFUE du journal officiel de l’Union </w:t>
      </w:r>
      <w:r w:rsidR="00024F0E" w:rsidRPr="00024F0E">
        <w:rPr>
          <w:rFonts w:ascii="Century Gothic" w:eastAsia="Calibri" w:hAnsi="Century Gothic" w:cs="Times New Roman"/>
          <w:i/>
          <w:sz w:val="18"/>
          <w:szCs w:val="18"/>
        </w:rPr>
        <w:t>Européenne</w:t>
      </w:r>
      <w:r w:rsidRPr="00024F0E">
        <w:rPr>
          <w:rFonts w:ascii="Century Gothic" w:eastAsia="Calibri" w:hAnsi="Century Gothic" w:cs="Times New Roman"/>
          <w:i/>
          <w:sz w:val="18"/>
          <w:szCs w:val="18"/>
        </w:rPr>
        <w:t xml:space="preserve"> en date du 16 décembre 2004</w:t>
      </w:r>
    </w:p>
  </w:footnote>
  <w:footnote w:id="4">
    <w:p w14:paraId="0397A8EA" w14:textId="298780D2" w:rsidR="00077197" w:rsidRDefault="00077197" w:rsidP="00077197">
      <w:pPr>
        <w:pStyle w:val="Commentaire"/>
      </w:pPr>
      <w:r>
        <w:rPr>
          <w:rStyle w:val="Appelnotedebasdep"/>
        </w:rPr>
        <w:footnoteRef/>
      </w:r>
      <w:r>
        <w:t xml:space="preserve"> </w:t>
      </w:r>
      <w:r w:rsidR="00CE1901">
        <w:rPr>
          <w:rFonts w:ascii="Century Gothic" w:eastAsia="Calibri" w:hAnsi="Century Gothic" w:cs="Times New Roman"/>
          <w:i/>
          <w:sz w:val="18"/>
          <w:szCs w:val="18"/>
        </w:rPr>
        <w:t>Le terme de</w:t>
      </w:r>
      <w:r w:rsidRPr="00D7727E">
        <w:rPr>
          <w:rFonts w:ascii="Century Gothic" w:eastAsia="Calibri" w:hAnsi="Century Gothic" w:cs="Times New Roman"/>
          <w:i/>
          <w:sz w:val="18"/>
          <w:szCs w:val="18"/>
        </w:rPr>
        <w:t xml:space="preserve"> </w:t>
      </w:r>
      <w:r w:rsidR="00C22D1F">
        <w:rPr>
          <w:rFonts w:ascii="Century Gothic" w:eastAsia="Calibri" w:hAnsi="Century Gothic" w:cs="Times New Roman"/>
          <w:i/>
          <w:sz w:val="18"/>
          <w:szCs w:val="18"/>
        </w:rPr>
        <w:t>« </w:t>
      </w:r>
      <w:r w:rsidRPr="00D7727E">
        <w:rPr>
          <w:rFonts w:ascii="Century Gothic" w:eastAsia="Calibri" w:hAnsi="Century Gothic" w:cs="Times New Roman"/>
          <w:i/>
          <w:sz w:val="18"/>
          <w:szCs w:val="18"/>
        </w:rPr>
        <w:t>produit reconditionné</w:t>
      </w:r>
      <w:r w:rsidR="00C22D1F">
        <w:rPr>
          <w:rFonts w:ascii="Century Gothic" w:eastAsia="Calibri" w:hAnsi="Century Gothic" w:cs="Times New Roman"/>
          <w:i/>
          <w:sz w:val="18"/>
          <w:szCs w:val="18"/>
        </w:rPr>
        <w:t> »</w:t>
      </w:r>
      <w:r w:rsidRPr="00D7727E">
        <w:rPr>
          <w:rFonts w:ascii="Century Gothic" w:eastAsia="Calibri" w:hAnsi="Century Gothic" w:cs="Times New Roman"/>
          <w:i/>
          <w:sz w:val="18"/>
          <w:szCs w:val="18"/>
        </w:rPr>
        <w:t xml:space="preserve"> </w:t>
      </w:r>
      <w:r w:rsidR="00CE1901">
        <w:rPr>
          <w:rFonts w:ascii="Century Gothic" w:eastAsia="Calibri" w:hAnsi="Century Gothic" w:cs="Times New Roman"/>
          <w:i/>
          <w:sz w:val="18"/>
          <w:szCs w:val="18"/>
        </w:rPr>
        <w:t>est ici utilisé au sens de</w:t>
      </w:r>
      <w:r w:rsidRPr="00D7727E">
        <w:rPr>
          <w:rFonts w:ascii="Century Gothic" w:eastAsia="Calibri" w:hAnsi="Century Gothic" w:cs="Times New Roman"/>
          <w:i/>
          <w:sz w:val="18"/>
          <w:szCs w:val="18"/>
        </w:rPr>
        <w:t xml:space="preserve"> l’article R122-4 du code de la consommation</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C5A1" w14:textId="1E671580" w:rsidR="00662165" w:rsidRDefault="005856B2" w:rsidP="00662165">
    <w:pPr>
      <w:pStyle w:val="En-tte"/>
    </w:pPr>
    <w:r>
      <w:rPr>
        <w:noProof/>
        <w:lang w:eastAsia="fr-FR"/>
      </w:rPr>
      <w:drawing>
        <wp:anchor distT="0" distB="0" distL="114300" distR="114300" simplePos="0" relativeHeight="251658240" behindDoc="0" locked="0" layoutInCell="1" allowOverlap="1" wp14:anchorId="71929096" wp14:editId="3E3BDD9E">
          <wp:simplePos x="0" y="0"/>
          <wp:positionH relativeFrom="margin">
            <wp:posOffset>-744279</wp:posOffset>
          </wp:positionH>
          <wp:positionV relativeFrom="margin">
            <wp:posOffset>-701748</wp:posOffset>
          </wp:positionV>
          <wp:extent cx="1601470" cy="8610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ement_Anjou_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861060"/>
                  </a:xfrm>
                  <a:prstGeom prst="rect">
                    <a:avLst/>
                  </a:prstGeom>
                </pic:spPr>
              </pic:pic>
            </a:graphicData>
          </a:graphic>
          <wp14:sizeRelH relativeFrom="margin">
            <wp14:pctWidth>0</wp14:pctWidth>
          </wp14:sizeRelH>
          <wp14:sizeRelV relativeFrom="margin">
            <wp14:pctHeight>0</wp14:pctHeight>
          </wp14:sizeRelV>
        </wp:anchor>
      </w:drawing>
    </w:r>
  </w:p>
  <w:p w14:paraId="2F7381BD" w14:textId="39A58834" w:rsidR="00662165" w:rsidRDefault="006621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E366A"/>
    <w:multiLevelType w:val="hybridMultilevel"/>
    <w:tmpl w:val="13F82A43"/>
    <w:lvl w:ilvl="0" w:tplc="FFFFFFFF">
      <w:start w:val="1"/>
      <w:numFmt w:val="ideographDigital"/>
      <w:lvlText w:val=""/>
      <w:lvlJc w:val="left"/>
    </w:lvl>
    <w:lvl w:ilvl="1" w:tplc="80AA5D8D">
      <w:start w:val="1"/>
      <w:numFmt w:val="bullet"/>
      <w:lvlText w:val="•"/>
      <w:lvlJc w:val="left"/>
    </w:lvl>
    <w:lvl w:ilvl="2" w:tplc="4B9A036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D07C3"/>
    <w:multiLevelType w:val="hybridMultilevel"/>
    <w:tmpl w:val="F6FCE820"/>
    <w:lvl w:ilvl="0" w:tplc="6E622D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B6033"/>
    <w:multiLevelType w:val="hybridMultilevel"/>
    <w:tmpl w:val="6F382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4C7905"/>
    <w:multiLevelType w:val="hybridMultilevel"/>
    <w:tmpl w:val="1ECA9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427B32"/>
    <w:multiLevelType w:val="hybridMultilevel"/>
    <w:tmpl w:val="73D67B10"/>
    <w:lvl w:ilvl="0" w:tplc="3370C880">
      <w:start w:val="1"/>
      <w:numFmt w:val="bullet"/>
      <w:lvlText w:val="→"/>
      <w:lvlJc w:val="left"/>
      <w:pPr>
        <w:ind w:left="1910" w:hanging="360"/>
      </w:pPr>
      <w:rPr>
        <w:rFonts w:ascii="Times New Roman" w:hAnsi="Times New Roman" w:cs="Times New Roman" w:hint="default"/>
      </w:rPr>
    </w:lvl>
    <w:lvl w:ilvl="1" w:tplc="040C0003" w:tentative="1">
      <w:start w:val="1"/>
      <w:numFmt w:val="bullet"/>
      <w:lvlText w:val="o"/>
      <w:lvlJc w:val="left"/>
      <w:pPr>
        <w:ind w:left="2630" w:hanging="360"/>
      </w:pPr>
      <w:rPr>
        <w:rFonts w:ascii="Courier New" w:hAnsi="Courier New" w:cs="Courier New" w:hint="default"/>
      </w:rPr>
    </w:lvl>
    <w:lvl w:ilvl="2" w:tplc="040C0005" w:tentative="1">
      <w:start w:val="1"/>
      <w:numFmt w:val="bullet"/>
      <w:lvlText w:val=""/>
      <w:lvlJc w:val="left"/>
      <w:pPr>
        <w:ind w:left="3350" w:hanging="360"/>
      </w:pPr>
      <w:rPr>
        <w:rFonts w:ascii="Wingdings" w:hAnsi="Wingdings" w:hint="default"/>
      </w:rPr>
    </w:lvl>
    <w:lvl w:ilvl="3" w:tplc="040C0001" w:tentative="1">
      <w:start w:val="1"/>
      <w:numFmt w:val="bullet"/>
      <w:lvlText w:val=""/>
      <w:lvlJc w:val="left"/>
      <w:pPr>
        <w:ind w:left="4070" w:hanging="360"/>
      </w:pPr>
      <w:rPr>
        <w:rFonts w:ascii="Symbol" w:hAnsi="Symbol" w:hint="default"/>
      </w:rPr>
    </w:lvl>
    <w:lvl w:ilvl="4" w:tplc="040C0003" w:tentative="1">
      <w:start w:val="1"/>
      <w:numFmt w:val="bullet"/>
      <w:lvlText w:val="o"/>
      <w:lvlJc w:val="left"/>
      <w:pPr>
        <w:ind w:left="4790" w:hanging="360"/>
      </w:pPr>
      <w:rPr>
        <w:rFonts w:ascii="Courier New" w:hAnsi="Courier New" w:cs="Courier New" w:hint="default"/>
      </w:rPr>
    </w:lvl>
    <w:lvl w:ilvl="5" w:tplc="040C0005" w:tentative="1">
      <w:start w:val="1"/>
      <w:numFmt w:val="bullet"/>
      <w:lvlText w:val=""/>
      <w:lvlJc w:val="left"/>
      <w:pPr>
        <w:ind w:left="5510" w:hanging="360"/>
      </w:pPr>
      <w:rPr>
        <w:rFonts w:ascii="Wingdings" w:hAnsi="Wingdings" w:hint="default"/>
      </w:rPr>
    </w:lvl>
    <w:lvl w:ilvl="6" w:tplc="040C0001" w:tentative="1">
      <w:start w:val="1"/>
      <w:numFmt w:val="bullet"/>
      <w:lvlText w:val=""/>
      <w:lvlJc w:val="left"/>
      <w:pPr>
        <w:ind w:left="6230" w:hanging="360"/>
      </w:pPr>
      <w:rPr>
        <w:rFonts w:ascii="Symbol" w:hAnsi="Symbol" w:hint="default"/>
      </w:rPr>
    </w:lvl>
    <w:lvl w:ilvl="7" w:tplc="040C0003" w:tentative="1">
      <w:start w:val="1"/>
      <w:numFmt w:val="bullet"/>
      <w:lvlText w:val="o"/>
      <w:lvlJc w:val="left"/>
      <w:pPr>
        <w:ind w:left="6950" w:hanging="360"/>
      </w:pPr>
      <w:rPr>
        <w:rFonts w:ascii="Courier New" w:hAnsi="Courier New" w:cs="Courier New" w:hint="default"/>
      </w:rPr>
    </w:lvl>
    <w:lvl w:ilvl="8" w:tplc="040C0005" w:tentative="1">
      <w:start w:val="1"/>
      <w:numFmt w:val="bullet"/>
      <w:lvlText w:val=""/>
      <w:lvlJc w:val="left"/>
      <w:pPr>
        <w:ind w:left="7670" w:hanging="360"/>
      </w:pPr>
      <w:rPr>
        <w:rFonts w:ascii="Wingdings" w:hAnsi="Wingdings" w:hint="default"/>
      </w:rPr>
    </w:lvl>
  </w:abstractNum>
  <w:abstractNum w:abstractNumId="5" w15:restartNumberingAfterBreak="0">
    <w:nsid w:val="1E7347DC"/>
    <w:multiLevelType w:val="hybridMultilevel"/>
    <w:tmpl w:val="1B7A90C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D620E"/>
    <w:multiLevelType w:val="hybridMultilevel"/>
    <w:tmpl w:val="18BADDB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5100D"/>
    <w:multiLevelType w:val="hybridMultilevel"/>
    <w:tmpl w:val="D3FE3B08"/>
    <w:lvl w:ilvl="0" w:tplc="3370C88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653D8A"/>
    <w:multiLevelType w:val="hybridMultilevel"/>
    <w:tmpl w:val="503CA062"/>
    <w:lvl w:ilvl="0" w:tplc="3370C88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300C4"/>
    <w:multiLevelType w:val="hybridMultilevel"/>
    <w:tmpl w:val="070A6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365626"/>
    <w:multiLevelType w:val="hybridMultilevel"/>
    <w:tmpl w:val="BCF48756"/>
    <w:lvl w:ilvl="0" w:tplc="56B281A2">
      <w:start w:val="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98127F"/>
    <w:multiLevelType w:val="hybridMultilevel"/>
    <w:tmpl w:val="AB16F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6312F"/>
    <w:multiLevelType w:val="hybridMultilevel"/>
    <w:tmpl w:val="F03E36D6"/>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F7F733D"/>
    <w:multiLevelType w:val="hybridMultilevel"/>
    <w:tmpl w:val="53E4E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EF308B"/>
    <w:multiLevelType w:val="hybridMultilevel"/>
    <w:tmpl w:val="2294E686"/>
    <w:lvl w:ilvl="0" w:tplc="3370C88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24D39"/>
    <w:multiLevelType w:val="hybridMultilevel"/>
    <w:tmpl w:val="77BCD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B6E8E"/>
    <w:multiLevelType w:val="hybridMultilevel"/>
    <w:tmpl w:val="190A0114"/>
    <w:lvl w:ilvl="0" w:tplc="8ACAD17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7A079E"/>
    <w:multiLevelType w:val="hybridMultilevel"/>
    <w:tmpl w:val="F4BEE492"/>
    <w:lvl w:ilvl="0" w:tplc="D82457E2">
      <w:start w:val="3"/>
      <w:numFmt w:val="bullet"/>
      <w:lvlText w:val="-"/>
      <w:lvlJc w:val="left"/>
      <w:pPr>
        <w:ind w:left="1637" w:hanging="360"/>
      </w:pPr>
      <w:rPr>
        <w:rFonts w:ascii="Times New Roman" w:eastAsia="Calibri" w:hAnsi="Times New Roman" w:cs="Times New Roman" w:hint="default"/>
      </w:rPr>
    </w:lvl>
    <w:lvl w:ilvl="1" w:tplc="040C0003">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8" w15:restartNumberingAfterBreak="0">
    <w:nsid w:val="63BF561C"/>
    <w:multiLevelType w:val="hybridMultilevel"/>
    <w:tmpl w:val="DBD40F98"/>
    <w:lvl w:ilvl="0" w:tplc="DC00889A">
      <w:start w:val="5"/>
      <w:numFmt w:val="bullet"/>
      <w:lvlText w:val="-"/>
      <w:lvlJc w:val="left"/>
      <w:pPr>
        <w:ind w:left="360" w:hanging="360"/>
      </w:pPr>
      <w:rPr>
        <w:rFonts w:ascii="Calibri" w:eastAsia="ArialNarrow" w:hAnsi="Calibri"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A2C5CDA"/>
    <w:multiLevelType w:val="hybridMultilevel"/>
    <w:tmpl w:val="B6764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013DF"/>
    <w:multiLevelType w:val="hybridMultilevel"/>
    <w:tmpl w:val="199CD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830A62"/>
    <w:multiLevelType w:val="hybridMultilevel"/>
    <w:tmpl w:val="04E2A0BE"/>
    <w:lvl w:ilvl="0" w:tplc="1562A046">
      <w:start w:val="3"/>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0A631F"/>
    <w:multiLevelType w:val="hybridMultilevel"/>
    <w:tmpl w:val="BD46B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A444A4"/>
    <w:multiLevelType w:val="hybridMultilevel"/>
    <w:tmpl w:val="D91EA8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DA03F28"/>
    <w:multiLevelType w:val="multilevel"/>
    <w:tmpl w:val="24D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3"/>
  </w:num>
  <w:num w:numId="4">
    <w:abstractNumId w:val="11"/>
  </w:num>
  <w:num w:numId="5">
    <w:abstractNumId w:val="5"/>
  </w:num>
  <w:num w:numId="6">
    <w:abstractNumId w:val="6"/>
  </w:num>
  <w:num w:numId="7">
    <w:abstractNumId w:val="14"/>
  </w:num>
  <w:num w:numId="8">
    <w:abstractNumId w:val="7"/>
  </w:num>
  <w:num w:numId="9">
    <w:abstractNumId w:val="16"/>
  </w:num>
  <w:num w:numId="10">
    <w:abstractNumId w:val="22"/>
  </w:num>
  <w:num w:numId="11">
    <w:abstractNumId w:val="19"/>
  </w:num>
  <w:num w:numId="12">
    <w:abstractNumId w:val="8"/>
  </w:num>
  <w:num w:numId="13">
    <w:abstractNumId w:val="0"/>
  </w:num>
  <w:num w:numId="14">
    <w:abstractNumId w:val="10"/>
  </w:num>
  <w:num w:numId="15">
    <w:abstractNumId w:val="17"/>
  </w:num>
  <w:num w:numId="16">
    <w:abstractNumId w:val="23"/>
  </w:num>
  <w:num w:numId="17">
    <w:abstractNumId w:val="4"/>
  </w:num>
  <w:num w:numId="18">
    <w:abstractNumId w:val="21"/>
  </w:num>
  <w:num w:numId="19">
    <w:abstractNumId w:val="1"/>
  </w:num>
  <w:num w:numId="20">
    <w:abstractNumId w:val="15"/>
  </w:num>
  <w:num w:numId="21">
    <w:abstractNumId w:val="2"/>
  </w:num>
  <w:num w:numId="22">
    <w:abstractNumId w:val="13"/>
  </w:num>
  <w:num w:numId="23">
    <w:abstractNumId w:val="24"/>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D9"/>
    <w:rsid w:val="0001348C"/>
    <w:rsid w:val="00024F0E"/>
    <w:rsid w:val="000437AC"/>
    <w:rsid w:val="00043D8E"/>
    <w:rsid w:val="000522D4"/>
    <w:rsid w:val="00062249"/>
    <w:rsid w:val="000735F5"/>
    <w:rsid w:val="00077197"/>
    <w:rsid w:val="000B5B7F"/>
    <w:rsid w:val="000D4A74"/>
    <w:rsid w:val="000E4FD9"/>
    <w:rsid w:val="000E5B9A"/>
    <w:rsid w:val="000F0A32"/>
    <w:rsid w:val="000F4593"/>
    <w:rsid w:val="00111301"/>
    <w:rsid w:val="00116739"/>
    <w:rsid w:val="001219B6"/>
    <w:rsid w:val="001306ED"/>
    <w:rsid w:val="00133EDA"/>
    <w:rsid w:val="00150372"/>
    <w:rsid w:val="001508CD"/>
    <w:rsid w:val="00165190"/>
    <w:rsid w:val="0019566B"/>
    <w:rsid w:val="001A1831"/>
    <w:rsid w:val="001B00EB"/>
    <w:rsid w:val="00200DF4"/>
    <w:rsid w:val="00225DDC"/>
    <w:rsid w:val="00235C3C"/>
    <w:rsid w:val="00247983"/>
    <w:rsid w:val="0025201F"/>
    <w:rsid w:val="0026052A"/>
    <w:rsid w:val="00267ED4"/>
    <w:rsid w:val="00282E88"/>
    <w:rsid w:val="002964F3"/>
    <w:rsid w:val="002A13A8"/>
    <w:rsid w:val="002A39E7"/>
    <w:rsid w:val="002B183B"/>
    <w:rsid w:val="002C12C9"/>
    <w:rsid w:val="002C1555"/>
    <w:rsid w:val="002E5B82"/>
    <w:rsid w:val="003149C0"/>
    <w:rsid w:val="00317571"/>
    <w:rsid w:val="00334ACE"/>
    <w:rsid w:val="0037311F"/>
    <w:rsid w:val="003B5C09"/>
    <w:rsid w:val="0040686B"/>
    <w:rsid w:val="00417034"/>
    <w:rsid w:val="0045156F"/>
    <w:rsid w:val="00457C14"/>
    <w:rsid w:val="00462FA7"/>
    <w:rsid w:val="004661BF"/>
    <w:rsid w:val="004A0553"/>
    <w:rsid w:val="004B760D"/>
    <w:rsid w:val="004C1A4A"/>
    <w:rsid w:val="004C496D"/>
    <w:rsid w:val="004E1CE9"/>
    <w:rsid w:val="00500148"/>
    <w:rsid w:val="00534D23"/>
    <w:rsid w:val="005353E7"/>
    <w:rsid w:val="005559B9"/>
    <w:rsid w:val="00563114"/>
    <w:rsid w:val="005856B2"/>
    <w:rsid w:val="00594B9D"/>
    <w:rsid w:val="00595B8B"/>
    <w:rsid w:val="005E3532"/>
    <w:rsid w:val="005E7897"/>
    <w:rsid w:val="006066B5"/>
    <w:rsid w:val="0062204C"/>
    <w:rsid w:val="00637390"/>
    <w:rsid w:val="00657E3E"/>
    <w:rsid w:val="00660189"/>
    <w:rsid w:val="00662165"/>
    <w:rsid w:val="006719DA"/>
    <w:rsid w:val="0067455A"/>
    <w:rsid w:val="00693A7C"/>
    <w:rsid w:val="006A4499"/>
    <w:rsid w:val="006A6F91"/>
    <w:rsid w:val="006A7B40"/>
    <w:rsid w:val="006A7EE6"/>
    <w:rsid w:val="006D6260"/>
    <w:rsid w:val="007563EE"/>
    <w:rsid w:val="00773CE5"/>
    <w:rsid w:val="00780454"/>
    <w:rsid w:val="007813A8"/>
    <w:rsid w:val="00791CD9"/>
    <w:rsid w:val="007B5110"/>
    <w:rsid w:val="007B5B39"/>
    <w:rsid w:val="007C64BF"/>
    <w:rsid w:val="007C7B85"/>
    <w:rsid w:val="007D4BB8"/>
    <w:rsid w:val="007E1268"/>
    <w:rsid w:val="007F1A72"/>
    <w:rsid w:val="007F4473"/>
    <w:rsid w:val="008104BA"/>
    <w:rsid w:val="008161FE"/>
    <w:rsid w:val="00826A83"/>
    <w:rsid w:val="00830D42"/>
    <w:rsid w:val="008414C6"/>
    <w:rsid w:val="0085608E"/>
    <w:rsid w:val="0086017F"/>
    <w:rsid w:val="00866BA0"/>
    <w:rsid w:val="008700FF"/>
    <w:rsid w:val="0088159C"/>
    <w:rsid w:val="008D2449"/>
    <w:rsid w:val="008E3FD3"/>
    <w:rsid w:val="009004E9"/>
    <w:rsid w:val="009602E9"/>
    <w:rsid w:val="009647F9"/>
    <w:rsid w:val="00973777"/>
    <w:rsid w:val="009864D9"/>
    <w:rsid w:val="009E01C4"/>
    <w:rsid w:val="009E446A"/>
    <w:rsid w:val="00A00714"/>
    <w:rsid w:val="00A105B8"/>
    <w:rsid w:val="00A30342"/>
    <w:rsid w:val="00A353DF"/>
    <w:rsid w:val="00A364B1"/>
    <w:rsid w:val="00A513D9"/>
    <w:rsid w:val="00A83430"/>
    <w:rsid w:val="00AA3929"/>
    <w:rsid w:val="00AA78D9"/>
    <w:rsid w:val="00B01BB3"/>
    <w:rsid w:val="00B10DFA"/>
    <w:rsid w:val="00B10E41"/>
    <w:rsid w:val="00B123F6"/>
    <w:rsid w:val="00B2427A"/>
    <w:rsid w:val="00B2736B"/>
    <w:rsid w:val="00B35838"/>
    <w:rsid w:val="00B44052"/>
    <w:rsid w:val="00B51B5A"/>
    <w:rsid w:val="00B554E1"/>
    <w:rsid w:val="00B56BE3"/>
    <w:rsid w:val="00B621F3"/>
    <w:rsid w:val="00B64DF4"/>
    <w:rsid w:val="00B67C0D"/>
    <w:rsid w:val="00B946B8"/>
    <w:rsid w:val="00BB6799"/>
    <w:rsid w:val="00BD24CC"/>
    <w:rsid w:val="00C16CFF"/>
    <w:rsid w:val="00C22D1F"/>
    <w:rsid w:val="00C2591C"/>
    <w:rsid w:val="00C378EB"/>
    <w:rsid w:val="00C4356C"/>
    <w:rsid w:val="00C66E1A"/>
    <w:rsid w:val="00C764AD"/>
    <w:rsid w:val="00C77C95"/>
    <w:rsid w:val="00CE1901"/>
    <w:rsid w:val="00CE2B17"/>
    <w:rsid w:val="00D104E8"/>
    <w:rsid w:val="00D12FAB"/>
    <w:rsid w:val="00D3265B"/>
    <w:rsid w:val="00D55070"/>
    <w:rsid w:val="00D755C7"/>
    <w:rsid w:val="00D7727E"/>
    <w:rsid w:val="00D8351E"/>
    <w:rsid w:val="00D841AA"/>
    <w:rsid w:val="00D86DB2"/>
    <w:rsid w:val="00DB6CD8"/>
    <w:rsid w:val="00DB7523"/>
    <w:rsid w:val="00DC5DDF"/>
    <w:rsid w:val="00E26EEF"/>
    <w:rsid w:val="00E3325F"/>
    <w:rsid w:val="00E358F0"/>
    <w:rsid w:val="00E61719"/>
    <w:rsid w:val="00E62FE0"/>
    <w:rsid w:val="00E81CEC"/>
    <w:rsid w:val="00EA054C"/>
    <w:rsid w:val="00EA322F"/>
    <w:rsid w:val="00EB1E0C"/>
    <w:rsid w:val="00EC0C64"/>
    <w:rsid w:val="00EC1C31"/>
    <w:rsid w:val="00EC3AFA"/>
    <w:rsid w:val="00EC5674"/>
    <w:rsid w:val="00EE1B20"/>
    <w:rsid w:val="00EE5C61"/>
    <w:rsid w:val="00F26926"/>
    <w:rsid w:val="00F33795"/>
    <w:rsid w:val="00F40B98"/>
    <w:rsid w:val="00F46BA2"/>
    <w:rsid w:val="00F5317B"/>
    <w:rsid w:val="00F53757"/>
    <w:rsid w:val="00F96640"/>
    <w:rsid w:val="00FA2E25"/>
    <w:rsid w:val="00FB0491"/>
    <w:rsid w:val="00FB07E7"/>
    <w:rsid w:val="00FD1A5E"/>
    <w:rsid w:val="00FF0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01FF4"/>
  <w15:chartTrackingRefBased/>
  <w15:docId w15:val="{F05DEAD6-E82F-4A47-AE4F-7F255BAC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C16CFF"/>
    <w:pPr>
      <w:keepNext/>
      <w:keepLines/>
      <w:spacing w:before="240" w:after="0" w:line="240" w:lineRule="auto"/>
      <w:outlineLvl w:val="0"/>
    </w:pPr>
    <w:rPr>
      <w:rFonts w:eastAsiaTheme="majorEastAsia" w:cstheme="majorBidi"/>
      <w:b/>
      <w:bCs/>
      <w:i/>
      <w:iCs/>
      <w:color w:val="001588"/>
      <w:sz w:val="24"/>
      <w:szCs w:val="28"/>
    </w:rPr>
  </w:style>
  <w:style w:type="paragraph" w:styleId="Titre2">
    <w:name w:val="heading 2"/>
    <w:basedOn w:val="Normal"/>
    <w:next w:val="Normal"/>
    <w:link w:val="Titre2Car"/>
    <w:uiPriority w:val="9"/>
    <w:unhideWhenUsed/>
    <w:qFormat/>
    <w:rsid w:val="00B123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2165"/>
    <w:pPr>
      <w:tabs>
        <w:tab w:val="center" w:pos="4536"/>
        <w:tab w:val="right" w:pos="9072"/>
      </w:tabs>
      <w:jc w:val="both"/>
    </w:pPr>
    <w:rPr>
      <w:rFonts w:ascii="Lucida Bright" w:eastAsia="Calibri" w:hAnsi="Lucida Bright" w:cs="Times New Roman"/>
      <w:sz w:val="20"/>
    </w:rPr>
  </w:style>
  <w:style w:type="character" w:customStyle="1" w:styleId="En-tteCar">
    <w:name w:val="En-tête Car"/>
    <w:basedOn w:val="Policepardfaut"/>
    <w:link w:val="En-tte"/>
    <w:uiPriority w:val="99"/>
    <w:rsid w:val="00662165"/>
    <w:rPr>
      <w:rFonts w:ascii="Lucida Bright" w:eastAsia="Calibri" w:hAnsi="Lucida Bright" w:cs="Times New Roman"/>
      <w:sz w:val="20"/>
    </w:rPr>
  </w:style>
  <w:style w:type="paragraph" w:styleId="Pieddepage">
    <w:name w:val="footer"/>
    <w:basedOn w:val="Normal"/>
    <w:link w:val="PieddepageCar"/>
    <w:uiPriority w:val="99"/>
    <w:unhideWhenUsed/>
    <w:rsid w:val="006621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2165"/>
  </w:style>
  <w:style w:type="character" w:styleId="Lienhypertexte">
    <w:name w:val="Hyperlink"/>
    <w:basedOn w:val="Policepardfaut"/>
    <w:uiPriority w:val="99"/>
    <w:unhideWhenUsed/>
    <w:rsid w:val="00DB7523"/>
    <w:rPr>
      <w:color w:val="0563C1" w:themeColor="hyperlink"/>
      <w:u w:val="single"/>
    </w:rPr>
  </w:style>
  <w:style w:type="character" w:customStyle="1" w:styleId="Mentionnonrsolue1">
    <w:name w:val="Mention non résolue1"/>
    <w:basedOn w:val="Policepardfaut"/>
    <w:uiPriority w:val="99"/>
    <w:semiHidden/>
    <w:unhideWhenUsed/>
    <w:rsid w:val="00DB7523"/>
    <w:rPr>
      <w:color w:val="605E5C"/>
      <w:shd w:val="clear" w:color="auto" w:fill="E1DFDD"/>
    </w:rPr>
  </w:style>
  <w:style w:type="character" w:customStyle="1" w:styleId="Titre1Car">
    <w:name w:val="Titre 1 Car"/>
    <w:basedOn w:val="Policepardfaut"/>
    <w:link w:val="Titre1"/>
    <w:uiPriority w:val="9"/>
    <w:rsid w:val="00C16CFF"/>
    <w:rPr>
      <w:rFonts w:eastAsiaTheme="majorEastAsia" w:cstheme="majorBidi"/>
      <w:b/>
      <w:bCs/>
      <w:i/>
      <w:iCs/>
      <w:color w:val="001588"/>
      <w:sz w:val="24"/>
      <w:szCs w:val="28"/>
    </w:rPr>
  </w:style>
  <w:style w:type="paragraph" w:customStyle="1" w:styleId="Standard">
    <w:name w:val="Standard"/>
    <w:rsid w:val="00C16CFF"/>
    <w:pPr>
      <w:widowControl w:val="0"/>
      <w:suppressAutoHyphens/>
      <w:autoSpaceDN w:val="0"/>
      <w:spacing w:after="0" w:line="240" w:lineRule="auto"/>
      <w:textAlignment w:val="baseline"/>
    </w:pPr>
    <w:rPr>
      <w:rFonts w:ascii="Calibri" w:eastAsia="SimSun, 宋体" w:hAnsi="Calibri" w:cs="Mangal"/>
      <w:kern w:val="3"/>
      <w:sz w:val="21"/>
      <w:szCs w:val="24"/>
      <w:lang w:eastAsia="zh-CN" w:bidi="hi-IN"/>
    </w:rPr>
  </w:style>
  <w:style w:type="paragraph" w:styleId="NormalWeb">
    <w:name w:val="Normal (Web)"/>
    <w:basedOn w:val="Normal"/>
    <w:uiPriority w:val="99"/>
    <w:unhideWhenUsed/>
    <w:rsid w:val="000437AC"/>
    <w:pPr>
      <w:spacing w:before="100" w:beforeAutospacing="1"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D10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A322F"/>
    <w:pPr>
      <w:ind w:left="720"/>
      <w:contextualSpacing/>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EA322F"/>
  </w:style>
  <w:style w:type="paragraph" w:styleId="Sansinterligne">
    <w:name w:val="No Spacing"/>
    <w:uiPriority w:val="1"/>
    <w:qFormat/>
    <w:rsid w:val="00EA322F"/>
    <w:pPr>
      <w:spacing w:after="0" w:line="240" w:lineRule="auto"/>
    </w:pPr>
  </w:style>
  <w:style w:type="character" w:styleId="Marquedecommentaire">
    <w:name w:val="annotation reference"/>
    <w:basedOn w:val="Policepardfaut"/>
    <w:uiPriority w:val="99"/>
    <w:semiHidden/>
    <w:unhideWhenUsed/>
    <w:rsid w:val="00A513D9"/>
    <w:rPr>
      <w:sz w:val="16"/>
      <w:szCs w:val="16"/>
    </w:rPr>
  </w:style>
  <w:style w:type="paragraph" w:styleId="Commentaire">
    <w:name w:val="annotation text"/>
    <w:basedOn w:val="Normal"/>
    <w:link w:val="CommentaireCar"/>
    <w:uiPriority w:val="99"/>
    <w:unhideWhenUsed/>
    <w:rsid w:val="00A513D9"/>
    <w:pPr>
      <w:spacing w:line="240" w:lineRule="auto"/>
    </w:pPr>
    <w:rPr>
      <w:sz w:val="20"/>
      <w:szCs w:val="20"/>
    </w:rPr>
  </w:style>
  <w:style w:type="character" w:customStyle="1" w:styleId="CommentaireCar">
    <w:name w:val="Commentaire Car"/>
    <w:basedOn w:val="Policepardfaut"/>
    <w:link w:val="Commentaire"/>
    <w:uiPriority w:val="99"/>
    <w:rsid w:val="00A513D9"/>
    <w:rPr>
      <w:sz w:val="20"/>
      <w:szCs w:val="20"/>
    </w:rPr>
  </w:style>
  <w:style w:type="paragraph" w:styleId="Objetducommentaire">
    <w:name w:val="annotation subject"/>
    <w:basedOn w:val="Commentaire"/>
    <w:next w:val="Commentaire"/>
    <w:link w:val="ObjetducommentaireCar"/>
    <w:uiPriority w:val="99"/>
    <w:semiHidden/>
    <w:unhideWhenUsed/>
    <w:rsid w:val="00A513D9"/>
    <w:rPr>
      <w:b/>
      <w:bCs/>
    </w:rPr>
  </w:style>
  <w:style w:type="character" w:customStyle="1" w:styleId="ObjetducommentaireCar">
    <w:name w:val="Objet du commentaire Car"/>
    <w:basedOn w:val="CommentaireCar"/>
    <w:link w:val="Objetducommentaire"/>
    <w:uiPriority w:val="99"/>
    <w:semiHidden/>
    <w:rsid w:val="00A513D9"/>
    <w:rPr>
      <w:b/>
      <w:bCs/>
      <w:sz w:val="20"/>
      <w:szCs w:val="20"/>
    </w:rPr>
  </w:style>
  <w:style w:type="paragraph" w:styleId="Textedebulles">
    <w:name w:val="Balloon Text"/>
    <w:basedOn w:val="Normal"/>
    <w:link w:val="TextedebullesCar"/>
    <w:uiPriority w:val="99"/>
    <w:semiHidden/>
    <w:unhideWhenUsed/>
    <w:rsid w:val="00A513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13D9"/>
    <w:rPr>
      <w:rFonts w:ascii="Segoe UI" w:hAnsi="Segoe UI" w:cs="Segoe UI"/>
      <w:sz w:val="18"/>
      <w:szCs w:val="18"/>
    </w:rPr>
  </w:style>
  <w:style w:type="paragraph" w:customStyle="1" w:styleId="Default">
    <w:name w:val="Default"/>
    <w:rsid w:val="007B5B39"/>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ormal"/>
    <w:rsid w:val="00791CD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5856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56B2"/>
    <w:rPr>
      <w:sz w:val="20"/>
      <w:szCs w:val="20"/>
    </w:rPr>
  </w:style>
  <w:style w:type="character" w:styleId="Appelnotedebasdep">
    <w:name w:val="footnote reference"/>
    <w:basedOn w:val="Policepardfaut"/>
    <w:uiPriority w:val="99"/>
    <w:semiHidden/>
    <w:unhideWhenUsed/>
    <w:rsid w:val="005856B2"/>
    <w:rPr>
      <w:vertAlign w:val="superscript"/>
    </w:rPr>
  </w:style>
  <w:style w:type="character" w:customStyle="1" w:styleId="Titre2Car">
    <w:name w:val="Titre 2 Car"/>
    <w:basedOn w:val="Policepardfaut"/>
    <w:link w:val="Titre2"/>
    <w:uiPriority w:val="9"/>
    <w:rsid w:val="00B123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572">
      <w:bodyDiv w:val="1"/>
      <w:marLeft w:val="0"/>
      <w:marRight w:val="0"/>
      <w:marTop w:val="0"/>
      <w:marBottom w:val="0"/>
      <w:divBdr>
        <w:top w:val="none" w:sz="0" w:space="0" w:color="auto"/>
        <w:left w:val="none" w:sz="0" w:space="0" w:color="auto"/>
        <w:bottom w:val="none" w:sz="0" w:space="0" w:color="auto"/>
        <w:right w:val="none" w:sz="0" w:space="0" w:color="auto"/>
      </w:divBdr>
      <w:divsChild>
        <w:div w:id="160396013">
          <w:marLeft w:val="0"/>
          <w:marRight w:val="0"/>
          <w:marTop w:val="0"/>
          <w:marBottom w:val="0"/>
          <w:divBdr>
            <w:top w:val="none" w:sz="0" w:space="0" w:color="auto"/>
            <w:left w:val="none" w:sz="0" w:space="0" w:color="auto"/>
            <w:bottom w:val="none" w:sz="0" w:space="0" w:color="auto"/>
            <w:right w:val="none" w:sz="0" w:space="0" w:color="auto"/>
          </w:divBdr>
        </w:div>
      </w:divsChild>
    </w:div>
    <w:div w:id="250548045">
      <w:bodyDiv w:val="1"/>
      <w:marLeft w:val="0"/>
      <w:marRight w:val="0"/>
      <w:marTop w:val="0"/>
      <w:marBottom w:val="0"/>
      <w:divBdr>
        <w:top w:val="none" w:sz="0" w:space="0" w:color="auto"/>
        <w:left w:val="none" w:sz="0" w:space="0" w:color="auto"/>
        <w:bottom w:val="none" w:sz="0" w:space="0" w:color="auto"/>
        <w:right w:val="none" w:sz="0" w:space="0" w:color="auto"/>
      </w:divBdr>
    </w:div>
    <w:div w:id="266499129">
      <w:bodyDiv w:val="1"/>
      <w:marLeft w:val="0"/>
      <w:marRight w:val="0"/>
      <w:marTop w:val="0"/>
      <w:marBottom w:val="0"/>
      <w:divBdr>
        <w:top w:val="none" w:sz="0" w:space="0" w:color="auto"/>
        <w:left w:val="none" w:sz="0" w:space="0" w:color="auto"/>
        <w:bottom w:val="none" w:sz="0" w:space="0" w:color="auto"/>
        <w:right w:val="none" w:sz="0" w:space="0" w:color="auto"/>
      </w:divBdr>
    </w:div>
    <w:div w:id="397288199">
      <w:bodyDiv w:val="1"/>
      <w:marLeft w:val="0"/>
      <w:marRight w:val="0"/>
      <w:marTop w:val="0"/>
      <w:marBottom w:val="0"/>
      <w:divBdr>
        <w:top w:val="none" w:sz="0" w:space="0" w:color="auto"/>
        <w:left w:val="none" w:sz="0" w:space="0" w:color="auto"/>
        <w:bottom w:val="none" w:sz="0" w:space="0" w:color="auto"/>
        <w:right w:val="none" w:sz="0" w:space="0" w:color="auto"/>
      </w:divBdr>
    </w:div>
    <w:div w:id="482745299">
      <w:bodyDiv w:val="1"/>
      <w:marLeft w:val="0"/>
      <w:marRight w:val="0"/>
      <w:marTop w:val="0"/>
      <w:marBottom w:val="0"/>
      <w:divBdr>
        <w:top w:val="none" w:sz="0" w:space="0" w:color="auto"/>
        <w:left w:val="none" w:sz="0" w:space="0" w:color="auto"/>
        <w:bottom w:val="none" w:sz="0" w:space="0" w:color="auto"/>
        <w:right w:val="none" w:sz="0" w:space="0" w:color="auto"/>
      </w:divBdr>
    </w:div>
    <w:div w:id="709037797">
      <w:bodyDiv w:val="1"/>
      <w:marLeft w:val="0"/>
      <w:marRight w:val="0"/>
      <w:marTop w:val="0"/>
      <w:marBottom w:val="0"/>
      <w:divBdr>
        <w:top w:val="none" w:sz="0" w:space="0" w:color="auto"/>
        <w:left w:val="none" w:sz="0" w:space="0" w:color="auto"/>
        <w:bottom w:val="none" w:sz="0" w:space="0" w:color="auto"/>
        <w:right w:val="none" w:sz="0" w:space="0" w:color="auto"/>
      </w:divBdr>
    </w:div>
    <w:div w:id="1611083568">
      <w:bodyDiv w:val="1"/>
      <w:marLeft w:val="0"/>
      <w:marRight w:val="0"/>
      <w:marTop w:val="0"/>
      <w:marBottom w:val="0"/>
      <w:divBdr>
        <w:top w:val="none" w:sz="0" w:space="0" w:color="auto"/>
        <w:left w:val="none" w:sz="0" w:space="0" w:color="auto"/>
        <w:bottom w:val="none" w:sz="0" w:space="0" w:color="auto"/>
        <w:right w:val="none" w:sz="0" w:space="0" w:color="auto"/>
      </w:divBdr>
    </w:div>
    <w:div w:id="1729692997">
      <w:bodyDiv w:val="1"/>
      <w:marLeft w:val="0"/>
      <w:marRight w:val="0"/>
      <w:marTop w:val="0"/>
      <w:marBottom w:val="0"/>
      <w:divBdr>
        <w:top w:val="none" w:sz="0" w:space="0" w:color="auto"/>
        <w:left w:val="none" w:sz="0" w:space="0" w:color="auto"/>
        <w:bottom w:val="none" w:sz="0" w:space="0" w:color="auto"/>
        <w:right w:val="none" w:sz="0" w:space="0" w:color="auto"/>
      </w:divBdr>
    </w:div>
    <w:div w:id="1741949474">
      <w:bodyDiv w:val="1"/>
      <w:marLeft w:val="0"/>
      <w:marRight w:val="0"/>
      <w:marTop w:val="0"/>
      <w:marBottom w:val="0"/>
      <w:divBdr>
        <w:top w:val="none" w:sz="0" w:space="0" w:color="auto"/>
        <w:left w:val="none" w:sz="0" w:space="0" w:color="auto"/>
        <w:bottom w:val="none" w:sz="0" w:space="0" w:color="auto"/>
        <w:right w:val="none" w:sz="0" w:space="0" w:color="auto"/>
      </w:divBdr>
    </w:div>
    <w:div w:id="2068607780">
      <w:bodyDiv w:val="1"/>
      <w:marLeft w:val="0"/>
      <w:marRight w:val="0"/>
      <w:marTop w:val="0"/>
      <w:marBottom w:val="0"/>
      <w:divBdr>
        <w:top w:val="none" w:sz="0" w:space="0" w:color="auto"/>
        <w:left w:val="none" w:sz="0" w:space="0" w:color="auto"/>
        <w:bottom w:val="none" w:sz="0" w:space="0" w:color="auto"/>
        <w:right w:val="none" w:sz="0" w:space="0" w:color="auto"/>
      </w:divBdr>
    </w:div>
    <w:div w:id="21355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ventions@maine-et-loi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0EC4-022F-4064-963C-D55E11B2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1960</Words>
  <Characters>10783</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Conseil Departemental de la Mayenne</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BRIS Martine</dc:creator>
  <cp:keywords/>
  <dc:description/>
  <cp:lastModifiedBy>lortie, elsa</cp:lastModifiedBy>
  <cp:revision>11</cp:revision>
  <cp:lastPrinted>2026-02-10T10:10:00Z</cp:lastPrinted>
  <dcterms:created xsi:type="dcterms:W3CDTF">2026-02-10T10:33:00Z</dcterms:created>
  <dcterms:modified xsi:type="dcterms:W3CDTF">2026-02-10T13:39:00Z</dcterms:modified>
</cp:coreProperties>
</file>